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0A" w:rsidRDefault="000D3F0A"/>
    <w:p w:rsidR="000D3F0A" w:rsidRDefault="000D3F0A"/>
    <w:p w:rsidR="000D3F0A" w:rsidRDefault="000D3F0A"/>
    <w:p w:rsidR="000D3F0A" w:rsidRDefault="000D3F0A"/>
    <w:p w:rsidR="000D3F0A" w:rsidRDefault="004B47CC" w:rsidP="000D3F0A">
      <w:r>
        <w:rPr>
          <w:noProof/>
        </w:rPr>
        <w:drawing>
          <wp:anchor distT="0" distB="0" distL="118745" distR="118745" simplePos="0" relativeHeight="251657216" behindDoc="0" locked="1" layoutInCell="1" allowOverlap="0">
            <wp:simplePos x="0" y="0"/>
            <wp:positionH relativeFrom="column">
              <wp:posOffset>-889000</wp:posOffset>
            </wp:positionH>
            <wp:positionV relativeFrom="page">
              <wp:posOffset>1905</wp:posOffset>
            </wp:positionV>
            <wp:extent cx="7774940" cy="1614170"/>
            <wp:effectExtent l="25400" t="0" r="0" b="0"/>
            <wp:wrapNone/>
            <wp:docPr id="2" name="Picture 2" descr="AcaTechTo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TechTop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94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FF9">
        <w:t>Working Paper, v1</w:t>
      </w:r>
      <w:r w:rsidR="00BD4FF9">
        <w:tab/>
      </w:r>
      <w:r w:rsidR="00BD4FF9">
        <w:tab/>
      </w:r>
      <w:r w:rsidR="00BD4FF9">
        <w:tab/>
      </w:r>
      <w:r w:rsidR="00BD4FF9">
        <w:tab/>
      </w:r>
      <w:r w:rsidR="00BD4FF9">
        <w:tab/>
      </w:r>
      <w:r w:rsidR="00BD4FF9">
        <w:tab/>
      </w:r>
      <w:r w:rsidR="00BD4FF9">
        <w:tab/>
      </w:r>
      <w:r w:rsidR="00BD4FF9">
        <w:tab/>
      </w:r>
      <w:r w:rsidR="00A233E2">
        <w:tab/>
        <w:t>March</w:t>
      </w:r>
      <w:r w:rsidR="00BD4FF9">
        <w:t xml:space="preserve"> 2016</w:t>
      </w:r>
    </w:p>
    <w:p w:rsidR="00BD4FF9" w:rsidRDefault="00BD4FF9" w:rsidP="00BD4FF9">
      <w:pPr>
        <w:spacing w:after="0"/>
      </w:pPr>
      <w:r>
        <w:t>Incentive-Based Budget Model</w:t>
      </w:r>
    </w:p>
    <w:p w:rsidR="00BD4FF9" w:rsidRDefault="004D0F6A" w:rsidP="00BD4FF9">
      <w:pPr>
        <w:spacing w:after="0"/>
      </w:pPr>
      <w:r>
        <w:t>Scope of Revenues, Phase 1</w:t>
      </w:r>
    </w:p>
    <w:p w:rsidR="00BD4FF9" w:rsidRDefault="00BD4FF9" w:rsidP="00BD4FF9">
      <w:pPr>
        <w:spacing w:after="0"/>
      </w:pPr>
    </w:p>
    <w:p w:rsidR="00DE167D" w:rsidRDefault="00BD4FF9" w:rsidP="00BD4FF9">
      <w:pPr>
        <w:spacing w:after="0"/>
      </w:pPr>
      <w:r>
        <w:t xml:space="preserve">This working paper provides a high level summary of the issues discussed by </w:t>
      </w:r>
      <w:r w:rsidR="00DE167D">
        <w:t xml:space="preserve">the Committee while working towards </w:t>
      </w:r>
      <w:r>
        <w:t>making a recommend</w:t>
      </w:r>
      <w:r w:rsidR="00FB572E">
        <w:t xml:space="preserve">ation on the allocation of </w:t>
      </w:r>
      <w:r>
        <w:t xml:space="preserve">graduate tuition </w:t>
      </w:r>
      <w:r w:rsidR="00FB572E">
        <w:t xml:space="preserve">and fee </w:t>
      </w:r>
      <w:r>
        <w:t xml:space="preserve">revenue. </w:t>
      </w:r>
      <w:r w:rsidR="00DE167D">
        <w:t xml:space="preserve">The recommendations outlined in this paper are a starting point for developing a proposed initial budget model. The working paper will continue to be revised throughout the process.  If you have any questions or comments you would like to share, you may email </w:t>
      </w:r>
      <w:hyperlink r:id="rId8" w:history="1">
        <w:r w:rsidR="00DE167D" w:rsidRPr="0061051E">
          <w:rPr>
            <w:rStyle w:val="Hyperlink"/>
          </w:rPr>
          <w:t>broncobudget@boisestate.edu</w:t>
        </w:r>
      </w:hyperlink>
      <w:r w:rsidR="00DE167D">
        <w:t xml:space="preserve"> and visit </w:t>
      </w:r>
      <w:hyperlink r:id="rId9" w:history="1">
        <w:r w:rsidR="00DE167D" w:rsidRPr="00DE167D">
          <w:rPr>
            <w:rStyle w:val="Hyperlink"/>
          </w:rPr>
          <w:t>http://vpfa.boisestate.edu/budget-and-planning/bronco-budget-2-0-new-budget-model/</w:t>
        </w:r>
      </w:hyperlink>
      <w:r w:rsidR="00DE167D">
        <w:t xml:space="preserve">. </w:t>
      </w:r>
    </w:p>
    <w:p w:rsidR="00DE167D" w:rsidRDefault="00DE167D" w:rsidP="00BD4FF9">
      <w:pPr>
        <w:spacing w:after="0"/>
      </w:pPr>
    </w:p>
    <w:p w:rsidR="008F4694" w:rsidRDefault="00BD4FF9" w:rsidP="00BD4FF9">
      <w:pPr>
        <w:spacing w:after="0"/>
      </w:pPr>
      <w:r>
        <w:t xml:space="preserve">The Committee </w:t>
      </w:r>
      <w:r w:rsidR="00AD7757">
        <w:t>weighed the merits of achieving an all funds budget against the added complexity and effort required to integrate all sources of funds. The initial scope is intended to be a phase 1 scope with a longer term goal of incorporating all revenue sources into the budget model.</w:t>
      </w:r>
    </w:p>
    <w:p w:rsidR="00AD7757" w:rsidRDefault="00AD7757" w:rsidP="00BD4FF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710"/>
        <w:gridCol w:w="4225"/>
      </w:tblGrid>
      <w:tr w:rsidR="00AD7757" w:rsidTr="00F52AE6">
        <w:tc>
          <w:tcPr>
            <w:tcW w:w="3415" w:type="dxa"/>
          </w:tcPr>
          <w:p w:rsidR="00AD7757" w:rsidRPr="000867A5" w:rsidRDefault="00AD7757" w:rsidP="00BD4FF9">
            <w:pPr>
              <w:spacing w:after="0"/>
              <w:rPr>
                <w:b/>
              </w:rPr>
            </w:pPr>
            <w:r w:rsidRPr="000867A5">
              <w:rPr>
                <w:b/>
              </w:rPr>
              <w:t>Sources of Funds</w:t>
            </w:r>
          </w:p>
        </w:tc>
        <w:tc>
          <w:tcPr>
            <w:tcW w:w="1710" w:type="dxa"/>
          </w:tcPr>
          <w:p w:rsidR="00AD7757" w:rsidRPr="000867A5" w:rsidRDefault="00AD7757" w:rsidP="00BD4FF9">
            <w:pPr>
              <w:spacing w:after="0"/>
              <w:rPr>
                <w:b/>
              </w:rPr>
            </w:pPr>
            <w:r w:rsidRPr="000867A5">
              <w:rPr>
                <w:b/>
              </w:rPr>
              <w:t>Include / Exclude</w:t>
            </w:r>
          </w:p>
        </w:tc>
        <w:tc>
          <w:tcPr>
            <w:tcW w:w="4225" w:type="dxa"/>
          </w:tcPr>
          <w:p w:rsidR="00AD7757" w:rsidRPr="000867A5" w:rsidRDefault="00AD7757" w:rsidP="00BD4FF9">
            <w:pPr>
              <w:spacing w:after="0"/>
              <w:rPr>
                <w:b/>
              </w:rPr>
            </w:pPr>
            <w:r w:rsidRPr="000867A5">
              <w:rPr>
                <w:b/>
              </w:rPr>
              <w:t>Rationale</w:t>
            </w:r>
            <w:r w:rsidR="00F52AE6" w:rsidRPr="000867A5">
              <w:rPr>
                <w:b/>
              </w:rPr>
              <w:t xml:space="preserve"> for Excluding</w:t>
            </w:r>
          </w:p>
        </w:tc>
      </w:tr>
      <w:tr w:rsidR="00AD7757" w:rsidTr="00F52AE6">
        <w:tc>
          <w:tcPr>
            <w:tcW w:w="3415" w:type="dxa"/>
          </w:tcPr>
          <w:p w:rsidR="00AD7757" w:rsidRDefault="00C430C6" w:rsidP="00BD4FF9">
            <w:pPr>
              <w:spacing w:after="0"/>
            </w:pPr>
            <w:r>
              <w:t>Tuition</w:t>
            </w:r>
          </w:p>
        </w:tc>
        <w:tc>
          <w:tcPr>
            <w:tcW w:w="1710" w:type="dxa"/>
          </w:tcPr>
          <w:p w:rsidR="00AD7757" w:rsidRDefault="00C430C6" w:rsidP="00BD4FF9">
            <w:pPr>
              <w:spacing w:after="0"/>
            </w:pPr>
            <w:r>
              <w:t>Include</w:t>
            </w:r>
          </w:p>
        </w:tc>
        <w:tc>
          <w:tcPr>
            <w:tcW w:w="4225" w:type="dxa"/>
          </w:tcPr>
          <w:p w:rsidR="00AD7757" w:rsidRDefault="00AD7757" w:rsidP="00BD4FF9">
            <w:pPr>
              <w:spacing w:after="0"/>
            </w:pPr>
          </w:p>
        </w:tc>
      </w:tr>
      <w:tr w:rsidR="00AD7757" w:rsidTr="00F52AE6">
        <w:tc>
          <w:tcPr>
            <w:tcW w:w="3415" w:type="dxa"/>
          </w:tcPr>
          <w:p w:rsidR="00AD7757" w:rsidRDefault="00C430C6" w:rsidP="00BD4FF9">
            <w:pPr>
              <w:spacing w:after="0"/>
            </w:pPr>
            <w:r>
              <w:t>Mandatory Student Fees*</w:t>
            </w:r>
          </w:p>
        </w:tc>
        <w:tc>
          <w:tcPr>
            <w:tcW w:w="1710" w:type="dxa"/>
          </w:tcPr>
          <w:p w:rsidR="00AD7757" w:rsidRDefault="00C430C6" w:rsidP="00BD4FF9">
            <w:pPr>
              <w:spacing w:after="0"/>
            </w:pPr>
            <w:r>
              <w:t>Include</w:t>
            </w:r>
          </w:p>
        </w:tc>
        <w:tc>
          <w:tcPr>
            <w:tcW w:w="4225" w:type="dxa"/>
          </w:tcPr>
          <w:p w:rsidR="00AD7757" w:rsidRDefault="00AD7757" w:rsidP="00BD4FF9">
            <w:pPr>
              <w:spacing w:after="0"/>
            </w:pPr>
          </w:p>
        </w:tc>
      </w:tr>
      <w:tr w:rsidR="00AD7757" w:rsidTr="00F52AE6">
        <w:tc>
          <w:tcPr>
            <w:tcW w:w="3415" w:type="dxa"/>
          </w:tcPr>
          <w:p w:rsidR="00AD7757" w:rsidRDefault="00C430C6" w:rsidP="00BD4FF9">
            <w:pPr>
              <w:spacing w:after="0"/>
            </w:pPr>
            <w:r>
              <w:t>Other Instructional Fees</w:t>
            </w:r>
          </w:p>
        </w:tc>
        <w:tc>
          <w:tcPr>
            <w:tcW w:w="1710" w:type="dxa"/>
          </w:tcPr>
          <w:p w:rsidR="00AD7757" w:rsidRDefault="00C430C6" w:rsidP="00BD4FF9">
            <w:pPr>
              <w:spacing w:after="0"/>
            </w:pPr>
            <w:r>
              <w:t>Include</w:t>
            </w:r>
          </w:p>
        </w:tc>
        <w:tc>
          <w:tcPr>
            <w:tcW w:w="4225" w:type="dxa"/>
          </w:tcPr>
          <w:p w:rsidR="00AD7757" w:rsidRDefault="00AD7757" w:rsidP="00BD4FF9">
            <w:pPr>
              <w:spacing w:after="0"/>
            </w:pPr>
          </w:p>
        </w:tc>
      </w:tr>
      <w:tr w:rsidR="00AD7757" w:rsidTr="00F52AE6">
        <w:tc>
          <w:tcPr>
            <w:tcW w:w="3415" w:type="dxa"/>
          </w:tcPr>
          <w:p w:rsidR="00AD7757" w:rsidRDefault="00C430C6" w:rsidP="00BD4FF9">
            <w:pPr>
              <w:spacing w:after="0"/>
            </w:pPr>
            <w:r>
              <w:t>Grants and Contracts</w:t>
            </w:r>
          </w:p>
        </w:tc>
        <w:tc>
          <w:tcPr>
            <w:tcW w:w="1710" w:type="dxa"/>
          </w:tcPr>
          <w:p w:rsidR="00AD7757" w:rsidRDefault="00C430C6" w:rsidP="00BD4FF9">
            <w:pPr>
              <w:spacing w:after="0"/>
            </w:pPr>
            <w:r>
              <w:t>Exclude</w:t>
            </w:r>
          </w:p>
        </w:tc>
        <w:tc>
          <w:tcPr>
            <w:tcW w:w="4225" w:type="dxa"/>
          </w:tcPr>
          <w:p w:rsidR="00AD7757" w:rsidRDefault="00F52AE6" w:rsidP="00BD4FF9">
            <w:pPr>
              <w:spacing w:after="0"/>
            </w:pPr>
            <w:r>
              <w:t xml:space="preserve">Expenditures are restricted in use and difficult to project. There is little initial value in budgeting </w:t>
            </w:r>
            <w:r w:rsidR="001B2A5F">
              <w:t xml:space="preserve">centrally </w:t>
            </w:r>
            <w:r>
              <w:t xml:space="preserve">as part of the </w:t>
            </w:r>
            <w:r w:rsidR="001B2A5F">
              <w:t xml:space="preserve">overall </w:t>
            </w:r>
            <w:r>
              <w:t>annual budget process.</w:t>
            </w:r>
          </w:p>
        </w:tc>
      </w:tr>
      <w:tr w:rsidR="00AD7757" w:rsidTr="00F52AE6">
        <w:tc>
          <w:tcPr>
            <w:tcW w:w="3415" w:type="dxa"/>
          </w:tcPr>
          <w:p w:rsidR="00AD7757" w:rsidRDefault="00C430C6" w:rsidP="00BD4FF9">
            <w:pPr>
              <w:spacing w:after="0"/>
            </w:pPr>
            <w:r>
              <w:t>Indirect Cost Recovery</w:t>
            </w:r>
          </w:p>
        </w:tc>
        <w:tc>
          <w:tcPr>
            <w:tcW w:w="1710" w:type="dxa"/>
          </w:tcPr>
          <w:p w:rsidR="00AD7757" w:rsidRDefault="00C430C6" w:rsidP="00BD4FF9">
            <w:pPr>
              <w:spacing w:after="0"/>
            </w:pPr>
            <w:r>
              <w:t>Include</w:t>
            </w:r>
          </w:p>
        </w:tc>
        <w:tc>
          <w:tcPr>
            <w:tcW w:w="4225" w:type="dxa"/>
          </w:tcPr>
          <w:p w:rsidR="00AD7757" w:rsidRDefault="00AD7757" w:rsidP="00BD4FF9">
            <w:pPr>
              <w:spacing w:after="0"/>
            </w:pPr>
          </w:p>
        </w:tc>
      </w:tr>
      <w:tr w:rsidR="00AD7757" w:rsidTr="00F52AE6">
        <w:tc>
          <w:tcPr>
            <w:tcW w:w="3415" w:type="dxa"/>
          </w:tcPr>
          <w:p w:rsidR="00AD7757" w:rsidRDefault="00C430C6" w:rsidP="00BD4FF9">
            <w:pPr>
              <w:spacing w:after="0"/>
            </w:pPr>
            <w:r>
              <w:t>Private (Foundation) Gifts</w:t>
            </w:r>
          </w:p>
        </w:tc>
        <w:tc>
          <w:tcPr>
            <w:tcW w:w="1710" w:type="dxa"/>
          </w:tcPr>
          <w:p w:rsidR="00AD7757" w:rsidRDefault="00C430C6" w:rsidP="00BD4FF9">
            <w:pPr>
              <w:spacing w:after="0"/>
            </w:pPr>
            <w:r>
              <w:t>Exclude</w:t>
            </w:r>
          </w:p>
        </w:tc>
        <w:tc>
          <w:tcPr>
            <w:tcW w:w="4225" w:type="dxa"/>
          </w:tcPr>
          <w:p w:rsidR="00AD7757" w:rsidRDefault="00F52AE6" w:rsidP="00BD4FF9">
            <w:pPr>
              <w:spacing w:after="0"/>
            </w:pPr>
            <w:r>
              <w:t xml:space="preserve">Expenditures are restricted in use and processes / systems are not set up to easily incorporate into the university </w:t>
            </w:r>
            <w:r w:rsidR="00EF6C7B">
              <w:t xml:space="preserve">annual </w:t>
            </w:r>
            <w:r>
              <w:t xml:space="preserve">budget process. Additional discussion </w:t>
            </w:r>
            <w:r w:rsidR="00EF6C7B">
              <w:t xml:space="preserve">is </w:t>
            </w:r>
            <w:r>
              <w:t>necessary regarding how the availability of private funds should inform budget decisions.</w:t>
            </w:r>
          </w:p>
        </w:tc>
      </w:tr>
      <w:tr w:rsidR="00AD7757" w:rsidTr="00F52AE6">
        <w:tc>
          <w:tcPr>
            <w:tcW w:w="3415" w:type="dxa"/>
          </w:tcPr>
          <w:p w:rsidR="00AD7757" w:rsidRDefault="00C430C6" w:rsidP="00BD4FF9">
            <w:pPr>
              <w:spacing w:after="0"/>
            </w:pPr>
            <w:r>
              <w:t>Sales and Service</w:t>
            </w:r>
          </w:p>
        </w:tc>
        <w:tc>
          <w:tcPr>
            <w:tcW w:w="1710" w:type="dxa"/>
          </w:tcPr>
          <w:p w:rsidR="00AD7757" w:rsidRDefault="00C430C6" w:rsidP="00BD4FF9">
            <w:pPr>
              <w:spacing w:after="0"/>
            </w:pPr>
            <w:r>
              <w:t>Include</w:t>
            </w:r>
          </w:p>
        </w:tc>
        <w:tc>
          <w:tcPr>
            <w:tcW w:w="4225" w:type="dxa"/>
          </w:tcPr>
          <w:p w:rsidR="00AD7757" w:rsidRDefault="00AD7757" w:rsidP="00BD4FF9">
            <w:pPr>
              <w:spacing w:after="0"/>
            </w:pPr>
          </w:p>
        </w:tc>
      </w:tr>
      <w:tr w:rsidR="00C430C6" w:rsidTr="00F52AE6">
        <w:tc>
          <w:tcPr>
            <w:tcW w:w="3415" w:type="dxa"/>
          </w:tcPr>
          <w:p w:rsidR="00C430C6" w:rsidRDefault="00C430C6" w:rsidP="00BD4FF9">
            <w:pPr>
              <w:spacing w:after="0"/>
            </w:pPr>
            <w:r>
              <w:t>Auxiliary Revenue</w:t>
            </w:r>
          </w:p>
        </w:tc>
        <w:tc>
          <w:tcPr>
            <w:tcW w:w="1710" w:type="dxa"/>
          </w:tcPr>
          <w:p w:rsidR="00C430C6" w:rsidRDefault="00C430C6" w:rsidP="00BD4FF9">
            <w:pPr>
              <w:spacing w:after="0"/>
            </w:pPr>
            <w:r>
              <w:t>Include</w:t>
            </w:r>
          </w:p>
        </w:tc>
        <w:tc>
          <w:tcPr>
            <w:tcW w:w="4225" w:type="dxa"/>
          </w:tcPr>
          <w:p w:rsidR="00C430C6" w:rsidRDefault="00C430C6" w:rsidP="00BD4FF9">
            <w:pPr>
              <w:spacing w:after="0"/>
            </w:pPr>
          </w:p>
        </w:tc>
      </w:tr>
      <w:tr w:rsidR="00C430C6" w:rsidTr="00F52AE6">
        <w:tc>
          <w:tcPr>
            <w:tcW w:w="3415" w:type="dxa"/>
          </w:tcPr>
          <w:p w:rsidR="00C430C6" w:rsidRDefault="00C430C6" w:rsidP="00BD4FF9">
            <w:pPr>
              <w:spacing w:after="0"/>
            </w:pPr>
            <w:r>
              <w:t>Other Operating Revenue</w:t>
            </w:r>
          </w:p>
        </w:tc>
        <w:tc>
          <w:tcPr>
            <w:tcW w:w="1710" w:type="dxa"/>
          </w:tcPr>
          <w:p w:rsidR="00C430C6" w:rsidRDefault="00C430C6" w:rsidP="00BD4FF9">
            <w:pPr>
              <w:spacing w:after="0"/>
            </w:pPr>
            <w:r>
              <w:t>Include</w:t>
            </w:r>
          </w:p>
        </w:tc>
        <w:tc>
          <w:tcPr>
            <w:tcW w:w="4225" w:type="dxa"/>
          </w:tcPr>
          <w:p w:rsidR="00C430C6" w:rsidRDefault="00C430C6" w:rsidP="00BD4FF9">
            <w:pPr>
              <w:spacing w:after="0"/>
            </w:pPr>
          </w:p>
        </w:tc>
      </w:tr>
      <w:tr w:rsidR="00C430C6" w:rsidTr="00F52AE6">
        <w:tc>
          <w:tcPr>
            <w:tcW w:w="3415" w:type="dxa"/>
          </w:tcPr>
          <w:p w:rsidR="00C430C6" w:rsidRDefault="00C430C6" w:rsidP="00BD4FF9">
            <w:pPr>
              <w:spacing w:after="0"/>
            </w:pPr>
            <w:r>
              <w:t>General State Appropriations</w:t>
            </w:r>
          </w:p>
        </w:tc>
        <w:tc>
          <w:tcPr>
            <w:tcW w:w="1710" w:type="dxa"/>
          </w:tcPr>
          <w:p w:rsidR="00C430C6" w:rsidRDefault="00C430C6" w:rsidP="00BD4FF9">
            <w:pPr>
              <w:spacing w:after="0"/>
            </w:pPr>
            <w:r>
              <w:t>Include</w:t>
            </w:r>
          </w:p>
        </w:tc>
        <w:tc>
          <w:tcPr>
            <w:tcW w:w="4225" w:type="dxa"/>
          </w:tcPr>
          <w:p w:rsidR="00C430C6" w:rsidRDefault="00C430C6" w:rsidP="00BD4FF9">
            <w:pPr>
              <w:spacing w:after="0"/>
            </w:pPr>
          </w:p>
        </w:tc>
      </w:tr>
      <w:tr w:rsidR="00C430C6" w:rsidTr="00F52AE6">
        <w:tc>
          <w:tcPr>
            <w:tcW w:w="3415" w:type="dxa"/>
          </w:tcPr>
          <w:p w:rsidR="00C430C6" w:rsidRDefault="00C430C6" w:rsidP="00BD4FF9">
            <w:pPr>
              <w:spacing w:after="0"/>
            </w:pPr>
            <w:r>
              <w:lastRenderedPageBreak/>
              <w:t>Federal / State Financial Aid</w:t>
            </w:r>
          </w:p>
        </w:tc>
        <w:tc>
          <w:tcPr>
            <w:tcW w:w="1710" w:type="dxa"/>
          </w:tcPr>
          <w:p w:rsidR="00C430C6" w:rsidRDefault="00C430C6" w:rsidP="00BD4FF9">
            <w:pPr>
              <w:spacing w:after="0"/>
            </w:pPr>
            <w:r>
              <w:t>Exclude (Include as Tuition)</w:t>
            </w:r>
          </w:p>
        </w:tc>
        <w:tc>
          <w:tcPr>
            <w:tcW w:w="4225" w:type="dxa"/>
          </w:tcPr>
          <w:p w:rsidR="00C430C6" w:rsidRDefault="00F52AE6" w:rsidP="00BD4FF9">
            <w:pPr>
              <w:spacing w:after="0"/>
            </w:pPr>
            <w:r>
              <w:t xml:space="preserve">Tuition revenue will be allocated as tuition regardless of whether it is recorded in the financial statements as tuition or as federal / state grants (e.g. Pell). </w:t>
            </w:r>
          </w:p>
        </w:tc>
      </w:tr>
      <w:tr w:rsidR="00C430C6" w:rsidTr="00F52AE6">
        <w:tc>
          <w:tcPr>
            <w:tcW w:w="3415" w:type="dxa"/>
          </w:tcPr>
          <w:p w:rsidR="00C430C6" w:rsidRDefault="00C430C6" w:rsidP="00BD4FF9">
            <w:pPr>
              <w:spacing w:after="0"/>
            </w:pPr>
            <w:r>
              <w:t>Net Investment Income</w:t>
            </w:r>
          </w:p>
        </w:tc>
        <w:tc>
          <w:tcPr>
            <w:tcW w:w="1710" w:type="dxa"/>
          </w:tcPr>
          <w:p w:rsidR="00C430C6" w:rsidRDefault="00C430C6" w:rsidP="00C430C6">
            <w:pPr>
              <w:spacing w:after="0"/>
            </w:pPr>
            <w:r>
              <w:t>Include</w:t>
            </w:r>
          </w:p>
        </w:tc>
        <w:tc>
          <w:tcPr>
            <w:tcW w:w="4225" w:type="dxa"/>
          </w:tcPr>
          <w:p w:rsidR="00C430C6" w:rsidRDefault="00C430C6" w:rsidP="00BD4FF9">
            <w:pPr>
              <w:spacing w:after="0"/>
            </w:pPr>
          </w:p>
        </w:tc>
      </w:tr>
      <w:tr w:rsidR="00C430C6" w:rsidTr="00F52AE6">
        <w:tc>
          <w:tcPr>
            <w:tcW w:w="3415" w:type="dxa"/>
          </w:tcPr>
          <w:p w:rsidR="00C430C6" w:rsidRDefault="00C430C6" w:rsidP="00BD4FF9">
            <w:pPr>
              <w:spacing w:after="0"/>
            </w:pPr>
            <w:r>
              <w:t>Other Non-Operating Revenue</w:t>
            </w:r>
          </w:p>
        </w:tc>
        <w:tc>
          <w:tcPr>
            <w:tcW w:w="1710" w:type="dxa"/>
          </w:tcPr>
          <w:p w:rsidR="00C430C6" w:rsidRDefault="00C430C6" w:rsidP="00BD4FF9">
            <w:pPr>
              <w:spacing w:after="0"/>
            </w:pPr>
            <w:r>
              <w:t>Exclude</w:t>
            </w:r>
          </w:p>
        </w:tc>
        <w:tc>
          <w:tcPr>
            <w:tcW w:w="4225" w:type="dxa"/>
          </w:tcPr>
          <w:p w:rsidR="00C430C6" w:rsidRDefault="00F52AE6" w:rsidP="00F52AE6">
            <w:pPr>
              <w:spacing w:after="0"/>
            </w:pPr>
            <w:r>
              <w:t>Other non-operating revenues are sporadic, difficult to project, and associated with non-operational transactions such as legal settlements and university debt.</w:t>
            </w:r>
          </w:p>
        </w:tc>
      </w:tr>
      <w:tr w:rsidR="00C430C6" w:rsidTr="00F52AE6">
        <w:tc>
          <w:tcPr>
            <w:tcW w:w="3415" w:type="dxa"/>
          </w:tcPr>
          <w:p w:rsidR="00C430C6" w:rsidRDefault="00C430C6" w:rsidP="00BD4FF9">
            <w:pPr>
              <w:spacing w:after="0"/>
            </w:pPr>
            <w:r>
              <w:t>Internal Chargebacks</w:t>
            </w:r>
          </w:p>
        </w:tc>
        <w:tc>
          <w:tcPr>
            <w:tcW w:w="1710" w:type="dxa"/>
          </w:tcPr>
          <w:p w:rsidR="00C430C6" w:rsidRDefault="00C430C6" w:rsidP="00BD4FF9">
            <w:pPr>
              <w:spacing w:after="0"/>
            </w:pPr>
            <w:r>
              <w:t>Include</w:t>
            </w:r>
          </w:p>
        </w:tc>
        <w:tc>
          <w:tcPr>
            <w:tcW w:w="4225" w:type="dxa"/>
          </w:tcPr>
          <w:p w:rsidR="00C430C6" w:rsidRDefault="00F52AE6" w:rsidP="00F52AE6">
            <w:pPr>
              <w:spacing w:after="0"/>
            </w:pPr>
            <w:r>
              <w:t xml:space="preserve">Although not specifically a revenue, the </w:t>
            </w:r>
            <w:r w:rsidR="000867A5">
              <w:t>appropriateness of departments charging</w:t>
            </w:r>
            <w:r>
              <w:t xml:space="preserve"> other university departments </w:t>
            </w:r>
            <w:r w:rsidR="000867A5">
              <w:t xml:space="preserve">and the amount of revenue received from these charges </w:t>
            </w:r>
            <w:r>
              <w:t>should be considered as part of the budget process.</w:t>
            </w:r>
          </w:p>
        </w:tc>
      </w:tr>
      <w:tr w:rsidR="00C430C6" w:rsidTr="00F52AE6">
        <w:tc>
          <w:tcPr>
            <w:tcW w:w="3415" w:type="dxa"/>
          </w:tcPr>
          <w:p w:rsidR="00C430C6" w:rsidRDefault="00C430C6" w:rsidP="00BD4FF9">
            <w:pPr>
              <w:spacing w:after="0"/>
            </w:pPr>
            <w:r>
              <w:t>Capital Appropriations</w:t>
            </w:r>
          </w:p>
        </w:tc>
        <w:tc>
          <w:tcPr>
            <w:tcW w:w="1710" w:type="dxa"/>
          </w:tcPr>
          <w:p w:rsidR="00C430C6" w:rsidRDefault="00C430C6" w:rsidP="00BD4FF9">
            <w:pPr>
              <w:spacing w:after="0"/>
            </w:pPr>
            <w:r>
              <w:t>Exclude</w:t>
            </w:r>
          </w:p>
        </w:tc>
        <w:tc>
          <w:tcPr>
            <w:tcW w:w="4225" w:type="dxa"/>
          </w:tcPr>
          <w:p w:rsidR="00C430C6" w:rsidRDefault="000867A5" w:rsidP="000867A5">
            <w:pPr>
              <w:spacing w:after="0"/>
            </w:pPr>
            <w:r>
              <w:t>Capital appropriations are for specific capital pro</w:t>
            </w:r>
            <w:bookmarkStart w:id="0" w:name="_GoBack"/>
            <w:bookmarkEnd w:id="0"/>
            <w:r>
              <w:t>jects and are appropriated separate</w:t>
            </w:r>
            <w:r w:rsidR="00EF6C7B">
              <w:t>ly</w:t>
            </w:r>
            <w:r>
              <w:t xml:space="preserve"> from the university’s operating budget. There is little value in including them in the budget. </w:t>
            </w:r>
          </w:p>
        </w:tc>
      </w:tr>
    </w:tbl>
    <w:p w:rsidR="000867A5" w:rsidRDefault="000867A5" w:rsidP="000867A5">
      <w:pPr>
        <w:spacing w:after="0"/>
      </w:pPr>
    </w:p>
    <w:p w:rsidR="000867A5" w:rsidRPr="000867A5" w:rsidRDefault="000867A5" w:rsidP="000867A5">
      <w:pPr>
        <w:spacing w:after="0"/>
      </w:pPr>
      <w:r>
        <w:t>* The Committee recommends that the current methodology for determining and distribution mandatory student fees be reviewed.</w:t>
      </w:r>
    </w:p>
    <w:sectPr w:rsidR="000867A5" w:rsidRPr="000867A5" w:rsidSect="00AB695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B5C" w:rsidRDefault="00E43B5C" w:rsidP="00E10AC7">
      <w:pPr>
        <w:spacing w:after="0"/>
      </w:pPr>
      <w:r>
        <w:separator/>
      </w:r>
    </w:p>
  </w:endnote>
  <w:endnote w:type="continuationSeparator" w:id="0">
    <w:p w:rsidR="00E43B5C" w:rsidRDefault="00E43B5C" w:rsidP="00E10A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3227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2AE6" w:rsidRDefault="00F52AE6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C7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3.18.16</w:t>
        </w:r>
      </w:p>
    </w:sdtContent>
  </w:sdt>
  <w:p w:rsidR="00F52AE6" w:rsidRPr="00E10AC7" w:rsidRDefault="00F52AE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B5C" w:rsidRDefault="00E43B5C" w:rsidP="00E10AC7">
      <w:pPr>
        <w:spacing w:after="0"/>
      </w:pPr>
      <w:r>
        <w:separator/>
      </w:r>
    </w:p>
  </w:footnote>
  <w:footnote w:type="continuationSeparator" w:id="0">
    <w:p w:rsidR="00E43B5C" w:rsidRDefault="00E43B5C" w:rsidP="00E10A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2BD"/>
    <w:multiLevelType w:val="hybridMultilevel"/>
    <w:tmpl w:val="FF421F5C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" w15:restartNumberingAfterBreak="0">
    <w:nsid w:val="293E5A17"/>
    <w:multiLevelType w:val="hybridMultilevel"/>
    <w:tmpl w:val="C7489FE6"/>
    <w:lvl w:ilvl="0" w:tplc="D6BA2174">
      <w:numFmt w:val="bullet"/>
      <w:lvlText w:val=""/>
      <w:lvlJc w:val="left"/>
      <w:pPr>
        <w:ind w:left="41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36B45ADD"/>
    <w:multiLevelType w:val="hybridMultilevel"/>
    <w:tmpl w:val="AA4A5C74"/>
    <w:lvl w:ilvl="0" w:tplc="D78CC63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B2DE6"/>
    <w:multiLevelType w:val="hybridMultilevel"/>
    <w:tmpl w:val="4A562432"/>
    <w:lvl w:ilvl="0" w:tplc="567C45D4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10FA9"/>
    <w:multiLevelType w:val="hybridMultilevel"/>
    <w:tmpl w:val="B1B4DA2A"/>
    <w:lvl w:ilvl="0" w:tplc="CB366C4A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D1481"/>
    <w:multiLevelType w:val="hybridMultilevel"/>
    <w:tmpl w:val="2B441D3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5D210C72"/>
    <w:multiLevelType w:val="hybridMultilevel"/>
    <w:tmpl w:val="53B81680"/>
    <w:lvl w:ilvl="0" w:tplc="92FC6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A5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084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C4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A2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A7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67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A8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EC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9B4C42"/>
    <w:multiLevelType w:val="hybridMultilevel"/>
    <w:tmpl w:val="D262B600"/>
    <w:lvl w:ilvl="0" w:tplc="8E18AB2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83EDE"/>
    <w:multiLevelType w:val="hybridMultilevel"/>
    <w:tmpl w:val="3C526D36"/>
    <w:lvl w:ilvl="0" w:tplc="D3E2325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CC"/>
    <w:rsid w:val="000867A5"/>
    <w:rsid w:val="000D3F0A"/>
    <w:rsid w:val="000E268C"/>
    <w:rsid w:val="000E2AE0"/>
    <w:rsid w:val="001B2A5F"/>
    <w:rsid w:val="001B4A7C"/>
    <w:rsid w:val="00267F3B"/>
    <w:rsid w:val="003A75DC"/>
    <w:rsid w:val="003D0666"/>
    <w:rsid w:val="00427CA5"/>
    <w:rsid w:val="00444312"/>
    <w:rsid w:val="00455241"/>
    <w:rsid w:val="004A61CB"/>
    <w:rsid w:val="004B47CC"/>
    <w:rsid w:val="004D0F6A"/>
    <w:rsid w:val="004E33B7"/>
    <w:rsid w:val="005675D9"/>
    <w:rsid w:val="00590E9B"/>
    <w:rsid w:val="005C5503"/>
    <w:rsid w:val="00676E73"/>
    <w:rsid w:val="006C29A6"/>
    <w:rsid w:val="006D664D"/>
    <w:rsid w:val="007D16ED"/>
    <w:rsid w:val="00843A3D"/>
    <w:rsid w:val="008A6948"/>
    <w:rsid w:val="008F4694"/>
    <w:rsid w:val="00932DA2"/>
    <w:rsid w:val="009444FB"/>
    <w:rsid w:val="009D1FAA"/>
    <w:rsid w:val="009D260A"/>
    <w:rsid w:val="00A233E2"/>
    <w:rsid w:val="00A4423C"/>
    <w:rsid w:val="00A77538"/>
    <w:rsid w:val="00AB09FE"/>
    <w:rsid w:val="00AB6956"/>
    <w:rsid w:val="00AD7757"/>
    <w:rsid w:val="00B950AC"/>
    <w:rsid w:val="00BD4FF9"/>
    <w:rsid w:val="00BD7DE4"/>
    <w:rsid w:val="00BE3251"/>
    <w:rsid w:val="00BF51DA"/>
    <w:rsid w:val="00C11885"/>
    <w:rsid w:val="00C17AE0"/>
    <w:rsid w:val="00C430C6"/>
    <w:rsid w:val="00C70FF7"/>
    <w:rsid w:val="00C94C87"/>
    <w:rsid w:val="00CB0C73"/>
    <w:rsid w:val="00CE48E7"/>
    <w:rsid w:val="00D01EEA"/>
    <w:rsid w:val="00D3258F"/>
    <w:rsid w:val="00D56A0E"/>
    <w:rsid w:val="00D936B8"/>
    <w:rsid w:val="00DE167D"/>
    <w:rsid w:val="00E10AC7"/>
    <w:rsid w:val="00E21477"/>
    <w:rsid w:val="00E43B5C"/>
    <w:rsid w:val="00E62922"/>
    <w:rsid w:val="00E638F4"/>
    <w:rsid w:val="00E838FB"/>
    <w:rsid w:val="00EF6C7B"/>
    <w:rsid w:val="00F057B9"/>
    <w:rsid w:val="00F1764F"/>
    <w:rsid w:val="00F52AE6"/>
    <w:rsid w:val="00FB572E"/>
    <w:rsid w:val="00FE54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82D8E5-22BB-49A2-89C8-71FAAA0E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A1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5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A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A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0A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A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0AC7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167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9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8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cobudget@boisestat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pfa.boisestate.edu/budget-and-planning/bronco-budget-2-0-new-budget-mod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Robinson</dc:creator>
  <cp:keywords/>
  <cp:lastModifiedBy>Ken Kline</cp:lastModifiedBy>
  <cp:revision>5</cp:revision>
  <cp:lastPrinted>2016-03-18T19:43:00Z</cp:lastPrinted>
  <dcterms:created xsi:type="dcterms:W3CDTF">2016-04-01T19:10:00Z</dcterms:created>
  <dcterms:modified xsi:type="dcterms:W3CDTF">2016-04-01T21:12:00Z</dcterms:modified>
</cp:coreProperties>
</file>