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C3" w:rsidRDefault="00627C45"/>
    <w:p w:rsidR="004A3FC3" w:rsidRDefault="00627C45"/>
    <w:p w:rsidR="004A3FC3" w:rsidRDefault="00627C45"/>
    <w:p w:rsidR="004A3FC3" w:rsidRDefault="00627C45"/>
    <w:p w:rsidR="004A4DA7" w:rsidRDefault="004B47CC" w:rsidP="00B76452">
      <w:pPr>
        <w:jc w:val="center"/>
      </w:pPr>
      <w:r>
        <w:rPr>
          <w:noProof/>
        </w:rPr>
        <w:drawing>
          <wp:anchor distT="0" distB="0" distL="118745" distR="118745" simplePos="0" relativeHeight="251657216" behindDoc="0" locked="1" layoutInCell="1" allowOverlap="0" wp14:anchorId="020ABAC0" wp14:editId="70AB18DC">
            <wp:simplePos x="0" y="0"/>
            <wp:positionH relativeFrom="column">
              <wp:posOffset>-889000</wp:posOffset>
            </wp:positionH>
            <wp:positionV relativeFrom="page">
              <wp:posOffset>1905</wp:posOffset>
            </wp:positionV>
            <wp:extent cx="7774940" cy="1614170"/>
            <wp:effectExtent l="25400" t="0" r="0" b="0"/>
            <wp:wrapNone/>
            <wp:docPr id="2" name="Picture 2" descr="AcaTechTo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TechTop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4940" cy="161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6452">
        <w:t>MEMORANDUM</w:t>
      </w:r>
    </w:p>
    <w:p w:rsidR="00B76452" w:rsidRDefault="00B76452" w:rsidP="00CB0609">
      <w:pPr>
        <w:spacing w:after="0"/>
      </w:pPr>
      <w:r>
        <w:t xml:space="preserve">TO: </w:t>
      </w:r>
      <w:r>
        <w:tab/>
        <w:t>Dr. Martin Schimpf, Provost</w:t>
      </w:r>
    </w:p>
    <w:p w:rsidR="00B76452" w:rsidRDefault="00B76452" w:rsidP="00D703D7">
      <w:pPr>
        <w:spacing w:after="0"/>
      </w:pPr>
      <w:r>
        <w:tab/>
      </w:r>
      <w:r w:rsidR="00D703D7">
        <w:t>Deans’ Council</w:t>
      </w:r>
    </w:p>
    <w:p w:rsidR="00CB0609" w:rsidRDefault="00CB0609" w:rsidP="00CB0609">
      <w:pPr>
        <w:spacing w:after="0"/>
      </w:pPr>
    </w:p>
    <w:p w:rsidR="000F3D1E" w:rsidRDefault="00B76452" w:rsidP="00D703D7">
      <w:pPr>
        <w:spacing w:after="0"/>
      </w:pPr>
      <w:r>
        <w:t>FR:</w:t>
      </w:r>
      <w:r>
        <w:tab/>
        <w:t>Ken Kline, AVP</w:t>
      </w:r>
      <w:r w:rsidR="00CB0609">
        <w:t xml:space="preserve"> Budget and Planning</w:t>
      </w:r>
    </w:p>
    <w:p w:rsidR="00F84354" w:rsidRDefault="00F84354" w:rsidP="00D703D7">
      <w:pPr>
        <w:spacing w:after="0"/>
        <w:ind w:firstLine="720"/>
      </w:pPr>
      <w:r>
        <w:t>Stacy Pearson, VP Finance and Administration</w:t>
      </w:r>
    </w:p>
    <w:p w:rsidR="00CB0609" w:rsidRDefault="00CB0609" w:rsidP="00D703D7">
      <w:pPr>
        <w:spacing w:before="200"/>
      </w:pPr>
      <w:r>
        <w:t>RE:</w:t>
      </w:r>
      <w:r>
        <w:tab/>
      </w:r>
      <w:r w:rsidR="00FC3D5A">
        <w:t>Follow-up to r</w:t>
      </w:r>
      <w:r>
        <w:t>equest for alternative budget model for 2016-17</w:t>
      </w:r>
    </w:p>
    <w:p w:rsidR="00CB0609" w:rsidRDefault="00DA7A0A" w:rsidP="00B7645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5AA34" wp14:editId="7BBF8E97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594360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285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757D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9pt" to="46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" strokecolor="black [3040]">
                <w10:wrap anchorx="margin"/>
              </v:line>
            </w:pict>
          </mc:Fallback>
        </mc:AlternateContent>
      </w:r>
      <w:r w:rsidR="00CB0609">
        <w:t>DT:</w:t>
      </w:r>
      <w:r w:rsidR="00CB0609">
        <w:tab/>
        <w:t xml:space="preserve">September </w:t>
      </w:r>
      <w:r w:rsidR="00FC3D5A">
        <w:t>8</w:t>
      </w:r>
      <w:r w:rsidR="00CB0609">
        <w:t>, 2016</w:t>
      </w:r>
    </w:p>
    <w:p w:rsidR="00CB0609" w:rsidRDefault="00FC3D5A" w:rsidP="00B76452">
      <w:r>
        <w:t xml:space="preserve">At the Deans’ </w:t>
      </w:r>
      <w:r w:rsidR="00285F75">
        <w:t xml:space="preserve">Council </w:t>
      </w:r>
      <w:r>
        <w:t xml:space="preserve">meeting </w:t>
      </w:r>
      <w:r w:rsidR="00285F75">
        <w:t xml:space="preserve">on </w:t>
      </w:r>
      <w:r>
        <w:t xml:space="preserve">9/7/16, we agreed to </w:t>
      </w:r>
      <w:r w:rsidR="00FC2C11">
        <w:t>the following parameters for budget management in 2</w:t>
      </w:r>
      <w:r>
        <w:t xml:space="preserve">016-17 and </w:t>
      </w:r>
      <w:r w:rsidR="00FC2C11">
        <w:t>beyond. T</w:t>
      </w:r>
      <w:r w:rsidR="00CB0609">
        <w:t>he</w:t>
      </w:r>
      <w:r w:rsidR="00FC2C11">
        <w:t>se</w:t>
      </w:r>
      <w:r w:rsidR="00CB0609">
        <w:t xml:space="preserve"> parameters </w:t>
      </w:r>
      <w:r w:rsidR="00B354D5">
        <w:t xml:space="preserve">align philosophically with changes that are likely to be </w:t>
      </w:r>
      <w:r w:rsidR="00FC2C11">
        <w:t>implemented</w:t>
      </w:r>
      <w:r w:rsidR="00B354D5">
        <w:t xml:space="preserve"> with the adoption of phase 1 of Bronco Budget 2.0</w:t>
      </w:r>
      <w:r w:rsidR="00D703D7">
        <w:t xml:space="preserve"> and would apply to all units considered “academic revenue units” in the new model (COAS, COEN, COED, SPS, COBE, COHS, </w:t>
      </w:r>
      <w:proofErr w:type="gramStart"/>
      <w:r w:rsidR="00D703D7">
        <w:t>CID</w:t>
      </w:r>
      <w:proofErr w:type="gramEnd"/>
      <w:r w:rsidR="00D703D7">
        <w:t>)</w:t>
      </w:r>
      <w:r w:rsidR="00B354D5">
        <w:t>.</w:t>
      </w:r>
      <w:r w:rsidR="00610238">
        <w:t xml:space="preserve"> </w:t>
      </w:r>
    </w:p>
    <w:p w:rsidR="00B354D5" w:rsidRDefault="00B354D5" w:rsidP="000F3D1E">
      <w:pPr>
        <w:spacing w:after="0"/>
        <w:rPr>
          <w:u w:val="single"/>
        </w:rPr>
      </w:pPr>
      <w:r w:rsidRPr="00B354D5">
        <w:rPr>
          <w:u w:val="single"/>
        </w:rPr>
        <w:t>Parameters</w:t>
      </w:r>
    </w:p>
    <w:p w:rsidR="00B354D5" w:rsidRPr="00B354D5" w:rsidRDefault="00610238" w:rsidP="00B354D5">
      <w:pPr>
        <w:pStyle w:val="ListParagraph"/>
        <w:numPr>
          <w:ilvl w:val="0"/>
          <w:numId w:val="2"/>
        </w:numPr>
        <w:rPr>
          <w:u w:val="single"/>
        </w:rPr>
      </w:pPr>
      <w:r>
        <w:t>B</w:t>
      </w:r>
      <w:r w:rsidR="00B354D5">
        <w:t>udget transfer</w:t>
      </w:r>
      <w:r>
        <w:t xml:space="preserve"> rule</w:t>
      </w:r>
      <w:r w:rsidR="00B354D5">
        <w:t xml:space="preserve">s </w:t>
      </w:r>
      <w:r>
        <w:t xml:space="preserve">for benefits will remain the same. All other budget transfers </w:t>
      </w:r>
      <w:r w:rsidR="00B354D5">
        <w:t>will be allowable.</w:t>
      </w:r>
    </w:p>
    <w:p w:rsidR="00B354D5" w:rsidRPr="00B354D5" w:rsidRDefault="00DA7A0A" w:rsidP="00B354D5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An amount equal to </w:t>
      </w:r>
      <w:r w:rsidR="003B5132">
        <w:t xml:space="preserve">the </w:t>
      </w:r>
      <w:r w:rsidR="00610238">
        <w:t>FY16</w:t>
      </w:r>
      <w:r w:rsidR="00B354D5">
        <w:t xml:space="preserve"> year</w:t>
      </w:r>
      <w:r w:rsidR="003B5132">
        <w:t>-</w:t>
      </w:r>
      <w:r w:rsidR="00B354D5">
        <w:t xml:space="preserve">end </w:t>
      </w:r>
      <w:r>
        <w:t>regu</w:t>
      </w:r>
      <w:r w:rsidR="00B354D5">
        <w:t xml:space="preserve">lar salary savings will be </w:t>
      </w:r>
      <w:r>
        <w:t xml:space="preserve">transferred </w:t>
      </w:r>
      <w:r w:rsidR="00B354D5">
        <w:t>to your College</w:t>
      </w:r>
      <w:r w:rsidR="00D703D7">
        <w:t xml:space="preserve"> / School</w:t>
      </w:r>
      <w:r w:rsidR="00B354D5">
        <w:t>.</w:t>
      </w:r>
    </w:p>
    <w:p w:rsidR="00DA3960" w:rsidRPr="00DA3960" w:rsidRDefault="003B5132" w:rsidP="00DA7A0A">
      <w:pPr>
        <w:pStyle w:val="ListParagraph"/>
        <w:numPr>
          <w:ilvl w:val="0"/>
          <w:numId w:val="2"/>
        </w:numPr>
        <w:rPr>
          <w:u w:val="single"/>
        </w:rPr>
      </w:pPr>
      <w:r>
        <w:t>P</w:t>
      </w:r>
      <w:r w:rsidR="00DA7A0A">
        <w:t xml:space="preserve">ermanent </w:t>
      </w:r>
      <w:r w:rsidR="00610238">
        <w:t xml:space="preserve">budget transfer </w:t>
      </w:r>
      <w:r w:rsidR="00DA7A0A">
        <w:t>will be provided for a</w:t>
      </w:r>
      <w:r w:rsidR="008C3A6B">
        <w:t xml:space="preserve">ll </w:t>
      </w:r>
      <w:r w:rsidR="00610238">
        <w:t xml:space="preserve">changes to </w:t>
      </w:r>
      <w:r w:rsidR="008C3A6B">
        <w:t>permanent position</w:t>
      </w:r>
      <w:r w:rsidR="00610238">
        <w:t xml:space="preserve"> budgets, including new positions, </w:t>
      </w:r>
      <w:r w:rsidR="00DA7A0A">
        <w:t xml:space="preserve">before the Budget Office </w:t>
      </w:r>
      <w:r w:rsidR="00610238">
        <w:t xml:space="preserve">will </w:t>
      </w:r>
      <w:r w:rsidR="00FA5653">
        <w:t>approve</w:t>
      </w:r>
      <w:r w:rsidR="00610238">
        <w:t xml:space="preserve">. </w:t>
      </w:r>
      <w:r w:rsidR="00DA7A0A">
        <w:t xml:space="preserve">This funding source </w:t>
      </w:r>
      <w:r w:rsidR="00FA5653">
        <w:t>may</w:t>
      </w:r>
      <w:r w:rsidR="00DA7A0A">
        <w:t xml:space="preserve"> be changed</w:t>
      </w:r>
      <w:r w:rsidR="00610238">
        <w:t xml:space="preserve"> as circumstances change</w:t>
      </w:r>
      <w:r w:rsidR="00DA7A0A">
        <w:t xml:space="preserve">. For example, if </w:t>
      </w:r>
      <w:r w:rsidR="00FA5653">
        <w:t xml:space="preserve">you submit a </w:t>
      </w:r>
      <w:r w:rsidR="00E001B8">
        <w:t xml:space="preserve">request </w:t>
      </w:r>
      <w:r w:rsidR="00610238">
        <w:t xml:space="preserve">to increase </w:t>
      </w:r>
      <w:r w:rsidR="00E001B8">
        <w:t xml:space="preserve">a </w:t>
      </w:r>
      <w:r w:rsidR="00DA7A0A">
        <w:t xml:space="preserve">position budget </w:t>
      </w:r>
      <w:r w:rsidR="00610238">
        <w:t>w</w:t>
      </w:r>
      <w:r w:rsidR="00FA5653">
        <w:t xml:space="preserve">ith the intention of requesting funds </w:t>
      </w:r>
      <w:r>
        <w:t>in</w:t>
      </w:r>
      <w:r w:rsidR="00E001B8">
        <w:t xml:space="preserve"> the next </w:t>
      </w:r>
      <w:r w:rsidR="00DA7A0A">
        <w:t xml:space="preserve">annual planning process, </w:t>
      </w:r>
      <w:r w:rsidR="00610238">
        <w:t xml:space="preserve">the </w:t>
      </w:r>
      <w:r w:rsidR="00DA7A0A">
        <w:t xml:space="preserve">funding source </w:t>
      </w:r>
      <w:r w:rsidR="00610238">
        <w:t xml:space="preserve">can be changed </w:t>
      </w:r>
      <w:r w:rsidR="00DA7A0A">
        <w:t xml:space="preserve">in the event </w:t>
      </w:r>
      <w:r>
        <w:t>funding is received</w:t>
      </w:r>
      <w:r w:rsidR="00DA7A0A">
        <w:t>.</w:t>
      </w:r>
      <w:r w:rsidR="00FC2C11">
        <w:t xml:space="preserve"> Exceptions may be granted by the AVP for Budget and Planning.</w:t>
      </w:r>
    </w:p>
    <w:p w:rsidR="008C3A6B" w:rsidRPr="00FC2C11" w:rsidRDefault="00D703D7" w:rsidP="00DA7A0A">
      <w:pPr>
        <w:pStyle w:val="ListParagraph"/>
        <w:numPr>
          <w:ilvl w:val="0"/>
          <w:numId w:val="2"/>
        </w:numPr>
        <w:rPr>
          <w:u w:val="single"/>
        </w:rPr>
      </w:pPr>
      <w:r>
        <w:t>Given that academic revenue units will no longer be contributing</w:t>
      </w:r>
      <w:r w:rsidR="003B5132">
        <w:t xml:space="preserve"> one-time </w:t>
      </w:r>
      <w:r>
        <w:t xml:space="preserve">salary savings to </w:t>
      </w:r>
      <w:r w:rsidR="003B5132">
        <w:t xml:space="preserve">the central budget, </w:t>
      </w:r>
      <w:r w:rsidR="00DA3960">
        <w:t xml:space="preserve">central funding </w:t>
      </w:r>
      <w:r w:rsidR="00610238">
        <w:t xml:space="preserve">pools </w:t>
      </w:r>
      <w:r w:rsidR="00DA3960">
        <w:t>will no longer be available (e.g., moving expenses,</w:t>
      </w:r>
      <w:r w:rsidR="000F3D1E">
        <w:t xml:space="preserve"> accrued leave, </w:t>
      </w:r>
      <w:r w:rsidR="00F84354">
        <w:t>o</w:t>
      </w:r>
      <w:r w:rsidR="000F3D1E">
        <w:t>ver/under pool)</w:t>
      </w:r>
      <w:r>
        <w:t xml:space="preserve">. </w:t>
      </w:r>
      <w:r w:rsidR="00C15D12">
        <w:t xml:space="preserve">Academic revenue units </w:t>
      </w:r>
      <w:r w:rsidR="003B5132">
        <w:t>will still be eligible for one-time fund</w:t>
      </w:r>
      <w:r w:rsidR="00C15D12">
        <w:t>s</w:t>
      </w:r>
      <w:r w:rsidR="003B5132">
        <w:t xml:space="preserve"> approved through MOAs, SFRs, and </w:t>
      </w:r>
      <w:r w:rsidR="00C15D12">
        <w:t xml:space="preserve">the </w:t>
      </w:r>
      <w:r w:rsidR="003B5132">
        <w:t>annual budget development process.</w:t>
      </w:r>
    </w:p>
    <w:p w:rsidR="00FC2C11" w:rsidRDefault="00FC2C11" w:rsidP="00FC2C11">
      <w:pPr>
        <w:pStyle w:val="ListParagraph"/>
        <w:ind w:left="360"/>
      </w:pPr>
    </w:p>
    <w:p w:rsidR="00FC2C11" w:rsidRPr="00FC2C11" w:rsidRDefault="00BF6472" w:rsidP="00FC2C11">
      <w:pPr>
        <w:pStyle w:val="ListParagraph"/>
        <w:ind w:left="0"/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C92B07" wp14:editId="2A84A71A">
            <wp:simplePos x="0" y="0"/>
            <wp:positionH relativeFrom="column">
              <wp:posOffset>-856615</wp:posOffset>
            </wp:positionH>
            <wp:positionV relativeFrom="paragraph">
              <wp:posOffset>1332230</wp:posOffset>
            </wp:positionV>
            <wp:extent cx="7765039" cy="746760"/>
            <wp:effectExtent l="0" t="0" r="7620" b="0"/>
            <wp:wrapNone/>
            <wp:docPr id="3" name="Picture 3" descr="E-Lth-VPRED_Botto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-Lth-VPRED_Bottom.t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039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C2C11">
        <w:t xml:space="preserve">In addition, it was agreed that </w:t>
      </w:r>
      <w:r w:rsidR="00A57956">
        <w:t xml:space="preserve">the academic revenue units </w:t>
      </w:r>
      <w:r w:rsidR="00FC2C11">
        <w:t>will provide $1 million in one-time funds in FY17 and $1 million in one-time funds in FY18 to contribute towards the new Fine Arts building.</w:t>
      </w:r>
      <w:r w:rsidR="00A57956">
        <w:t xml:space="preserve"> This contribution will be apportioned to academic revenue units in proportion to their appropriated budget</w:t>
      </w:r>
      <w:r w:rsidR="00627C45">
        <w:t xml:space="preserve"> and </w:t>
      </w:r>
      <w:r w:rsidR="00FC2C11">
        <w:t xml:space="preserve">may come from any available and allowable sources of funds including local funds. This </w:t>
      </w:r>
      <w:r>
        <w:t xml:space="preserve">$1 million </w:t>
      </w:r>
      <w:r w:rsidR="00FC2C11">
        <w:t>contribution represents</w:t>
      </w:r>
      <w:r>
        <w:t xml:space="preserve"> roughly 1% of the total appropriated budget allocated to the academic revenue units.</w:t>
      </w:r>
      <w:bookmarkStart w:id="0" w:name="_GoBack"/>
      <w:bookmarkEnd w:id="0"/>
      <w:r w:rsidR="00FC2C11">
        <w:t xml:space="preserve"> </w:t>
      </w:r>
    </w:p>
    <w:sectPr w:rsidR="00FC2C11" w:rsidRPr="00FC2C11" w:rsidSect="002956D3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A3481"/>
    <w:multiLevelType w:val="hybridMultilevel"/>
    <w:tmpl w:val="FBAA3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1B3E9E"/>
    <w:multiLevelType w:val="hybridMultilevel"/>
    <w:tmpl w:val="CA944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CC"/>
    <w:rsid w:val="000F3D1E"/>
    <w:rsid w:val="00285F75"/>
    <w:rsid w:val="003B5132"/>
    <w:rsid w:val="003D0666"/>
    <w:rsid w:val="00444312"/>
    <w:rsid w:val="004A61CB"/>
    <w:rsid w:val="004B47CC"/>
    <w:rsid w:val="00610238"/>
    <w:rsid w:val="00627C45"/>
    <w:rsid w:val="00676E73"/>
    <w:rsid w:val="006D664D"/>
    <w:rsid w:val="008C3A6B"/>
    <w:rsid w:val="009444FB"/>
    <w:rsid w:val="009D260A"/>
    <w:rsid w:val="00A5698E"/>
    <w:rsid w:val="00A57956"/>
    <w:rsid w:val="00B354D5"/>
    <w:rsid w:val="00B76452"/>
    <w:rsid w:val="00BF51DA"/>
    <w:rsid w:val="00BF6472"/>
    <w:rsid w:val="00C11885"/>
    <w:rsid w:val="00C15D12"/>
    <w:rsid w:val="00CB0609"/>
    <w:rsid w:val="00D703D7"/>
    <w:rsid w:val="00D9006F"/>
    <w:rsid w:val="00DA3960"/>
    <w:rsid w:val="00DA7A0A"/>
    <w:rsid w:val="00E001B8"/>
    <w:rsid w:val="00F84354"/>
    <w:rsid w:val="00FA5653"/>
    <w:rsid w:val="00FC2C11"/>
    <w:rsid w:val="00FC3D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82D8E5-22BB-49A2-89C8-71FAAA0E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CA1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05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5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Robinson</dc:creator>
  <cp:keywords/>
  <cp:lastModifiedBy>Ken Kline</cp:lastModifiedBy>
  <cp:revision>7</cp:revision>
  <cp:lastPrinted>2013-01-29T23:33:00Z</cp:lastPrinted>
  <dcterms:created xsi:type="dcterms:W3CDTF">2016-09-08T16:16:00Z</dcterms:created>
  <dcterms:modified xsi:type="dcterms:W3CDTF">2016-09-08T19:29:00Z</dcterms:modified>
</cp:coreProperties>
</file>