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0AF33" w14:textId="77777777" w:rsidR="00067CDA" w:rsidRPr="00067CDA" w:rsidRDefault="00067CDA" w:rsidP="00067CDA">
      <w:pPr>
        <w:pStyle w:val="Heading2"/>
      </w:pPr>
      <w:r>
        <w:t xml:space="preserve">Part I. </w:t>
      </w:r>
      <w:r w:rsidRPr="00067CDA">
        <w:t>Uranium oxide interference correction algorithms</w:t>
      </w:r>
    </w:p>
    <w:p w14:paraId="7DBDF4F7" w14:textId="77777777" w:rsidR="00067CDA" w:rsidRDefault="00067CDA">
      <w:pPr>
        <w:tabs>
          <w:tab w:val="right" w:pos="8280"/>
        </w:tabs>
      </w:pPr>
      <w:r>
        <w:t>Measurement of the uranium isotopic composition of double-spiked (</w:t>
      </w:r>
      <w:r>
        <w:rPr>
          <w:vertAlign w:val="superscript"/>
        </w:rPr>
        <w:t>233</w:t>
      </w:r>
      <w:r>
        <w:t>U-</w:t>
      </w:r>
      <w:r>
        <w:rPr>
          <w:vertAlign w:val="superscript"/>
        </w:rPr>
        <w:t>235</w:t>
      </w:r>
      <w:r>
        <w:t>U) samples as UO</w:t>
      </w:r>
      <w:r>
        <w:rPr>
          <w:vertAlign w:val="subscript"/>
        </w:rPr>
        <w:t>2</w:t>
      </w:r>
      <w:r>
        <w:rPr>
          <w:vertAlign w:val="superscript"/>
        </w:rPr>
        <w:t>+</w:t>
      </w:r>
      <w:r>
        <w:t xml:space="preserve"> species requires the subtraction of the isobaric interference of </w:t>
      </w:r>
      <w:r>
        <w:rPr>
          <w:vertAlign w:val="superscript"/>
        </w:rPr>
        <w:t>18</w:t>
      </w:r>
      <w:r>
        <w:t xml:space="preserve">O-bearing </w:t>
      </w:r>
      <w:r>
        <w:rPr>
          <w:vertAlign w:val="superscript"/>
        </w:rPr>
        <w:t>233</w:t>
      </w:r>
      <w:r>
        <w:t>UO</w:t>
      </w:r>
      <w:r>
        <w:rPr>
          <w:vertAlign w:val="subscript"/>
        </w:rPr>
        <w:t>2</w:t>
      </w:r>
      <w:r>
        <w:t xml:space="preserve"> on the predominant target </w:t>
      </w:r>
      <w:r>
        <w:rPr>
          <w:vertAlign w:val="superscript"/>
        </w:rPr>
        <w:t>235</w:t>
      </w:r>
      <w:r>
        <w:t>U</w:t>
      </w:r>
      <w:r>
        <w:rPr>
          <w:vertAlign w:val="superscript"/>
        </w:rPr>
        <w:t>16</w:t>
      </w:r>
      <w:r>
        <w:t>O</w:t>
      </w:r>
      <w:r>
        <w:rPr>
          <w:vertAlign w:val="subscript"/>
        </w:rPr>
        <w:t>2</w:t>
      </w:r>
      <w:r>
        <w:t xml:space="preserve"> peak at mass 267.  The probability of forming a double </w:t>
      </w:r>
      <w:r>
        <w:rPr>
          <w:vertAlign w:val="superscript"/>
        </w:rPr>
        <w:t>17</w:t>
      </w:r>
      <w:r>
        <w:t xml:space="preserve">O-bearing uranium dioxide molecule is so low as to make a </w:t>
      </w:r>
      <w:r>
        <w:rPr>
          <w:vertAlign w:val="superscript"/>
        </w:rPr>
        <w:t>233</w:t>
      </w:r>
      <w:r>
        <w:t>U</w:t>
      </w:r>
      <w:r>
        <w:rPr>
          <w:vertAlign w:val="superscript"/>
        </w:rPr>
        <w:t>17</w:t>
      </w:r>
      <w:r>
        <w:t>O</w:t>
      </w:r>
      <w:r>
        <w:rPr>
          <w:vertAlign w:val="subscript"/>
        </w:rPr>
        <w:t>2</w:t>
      </w:r>
      <w:r>
        <w:t xml:space="preserve"> interference of negligible importance for this measurement.  The probability of an </w:t>
      </w:r>
      <w:r>
        <w:rPr>
          <w:vertAlign w:val="superscript"/>
        </w:rPr>
        <w:t>18</w:t>
      </w:r>
      <w:r>
        <w:t xml:space="preserve">O dioxide substitution is estimated by the relative abundance of </w:t>
      </w:r>
      <w:r>
        <w:rPr>
          <w:vertAlign w:val="superscript"/>
        </w:rPr>
        <w:t>18</w:t>
      </w:r>
      <w:r>
        <w:t xml:space="preserve">O, also safely approximated by </w:t>
      </w:r>
      <w:r>
        <w:rPr>
          <w:vertAlign w:val="superscript"/>
        </w:rPr>
        <w:t>18</w:t>
      </w:r>
      <w:r>
        <w:t>O/</w:t>
      </w:r>
      <w:r>
        <w:rPr>
          <w:vertAlign w:val="superscript"/>
        </w:rPr>
        <w:t>16</w:t>
      </w:r>
      <w:r>
        <w:t xml:space="preserve">O, which may be assigned a value of 0.002055 (De </w:t>
      </w:r>
      <w:proofErr w:type="spellStart"/>
      <w:r>
        <w:t>Laeter</w:t>
      </w:r>
      <w:proofErr w:type="spellEnd"/>
      <w:r>
        <w:t xml:space="preserve"> et al., 2003) or directly measured from loads of natural U (see Part II). Both possible </w:t>
      </w:r>
      <w:r>
        <w:rPr>
          <w:vertAlign w:val="superscript"/>
        </w:rPr>
        <w:t>18</w:t>
      </w:r>
      <w:r>
        <w:t xml:space="preserve">O substitutions into the dioxide molecule must be considered.  The </w:t>
      </w:r>
      <w:proofErr w:type="spellStart"/>
      <w:r>
        <w:t>maths</w:t>
      </w:r>
      <w:proofErr w:type="spellEnd"/>
      <w:r>
        <w:t xml:space="preserve"> for the correction of the two measured U isotope ratios are given below.  </w:t>
      </w:r>
    </w:p>
    <w:p w14:paraId="7B6BA5D5" w14:textId="77777777" w:rsidR="00067CDA" w:rsidRDefault="00067CDA">
      <w:pPr>
        <w:tabs>
          <w:tab w:val="right" w:pos="8280"/>
        </w:tabs>
      </w:pPr>
    </w:p>
    <w:p w14:paraId="6BC5E81E" w14:textId="77777777" w:rsidR="00067CDA" w:rsidRDefault="00067CDA">
      <w:pPr>
        <w:tabs>
          <w:tab w:val="right" w:pos="8280"/>
        </w:tabs>
      </w:pPr>
      <w:r>
        <w:t xml:space="preserve">For correcting the </w:t>
      </w:r>
      <w:r>
        <w:rPr>
          <w:vertAlign w:val="superscript"/>
        </w:rPr>
        <w:t>235</w:t>
      </w:r>
      <w:r>
        <w:t>U/</w:t>
      </w:r>
      <w:r>
        <w:rPr>
          <w:vertAlign w:val="superscript"/>
        </w:rPr>
        <w:t>233</w:t>
      </w:r>
      <w:r>
        <w:t xml:space="preserve">U (or </w:t>
      </w:r>
      <w:r>
        <w:rPr>
          <w:vertAlign w:val="superscript"/>
        </w:rPr>
        <w:t>233</w:t>
      </w:r>
      <w:r>
        <w:t>U/</w:t>
      </w:r>
      <w:r>
        <w:rPr>
          <w:vertAlign w:val="superscript"/>
        </w:rPr>
        <w:t>235</w:t>
      </w:r>
      <w:r>
        <w:t>U) ratio:</w:t>
      </w:r>
    </w:p>
    <w:p w14:paraId="2266BDF6" w14:textId="77777777" w:rsidR="00067CDA" w:rsidRDefault="00067CDA">
      <w:pPr>
        <w:tabs>
          <w:tab w:val="right" w:pos="8280"/>
        </w:tabs>
      </w:pPr>
    </w:p>
    <w:p w14:paraId="5A9251F8" w14:textId="77777777" w:rsidR="00067CDA" w:rsidRDefault="00067CDA">
      <w:pPr>
        <w:tabs>
          <w:tab w:val="right" w:pos="8280"/>
        </w:tabs>
      </w:pPr>
      <w:r>
        <w:rPr>
          <w:position w:val="-26"/>
        </w:rPr>
        <w:object w:dxaOrig="4520" w:dyaOrig="660" w14:anchorId="55DA32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6.15pt;height:32.55pt;mso-width-percent:0;mso-height-percent:0;mso-width-percent:0;mso-height-percent:0" o:ole="">
            <v:imagedata r:id="rId5" o:title=""/>
          </v:shape>
          <o:OLEObject Type="Embed" ProgID="Equation.3" ShapeID="_x0000_i1025" DrawAspect="Content" ObjectID="_1618845593" r:id="rId6"/>
        </w:object>
      </w:r>
      <w:r>
        <w:tab/>
        <w:t>(1)</w:t>
      </w:r>
    </w:p>
    <w:p w14:paraId="3A5F7B80" w14:textId="77777777" w:rsidR="00067CDA" w:rsidRDefault="00067CDA">
      <w:pPr>
        <w:tabs>
          <w:tab w:val="right" w:pos="8280"/>
        </w:tabs>
      </w:pPr>
    </w:p>
    <w:p w14:paraId="7C11A042" w14:textId="77777777" w:rsidR="00067CDA" w:rsidRDefault="00067CDA">
      <w:pPr>
        <w:tabs>
          <w:tab w:val="right" w:pos="8280"/>
        </w:tabs>
      </w:pPr>
      <w:r>
        <w:rPr>
          <w:position w:val="-30"/>
        </w:rPr>
        <w:object w:dxaOrig="3880" w:dyaOrig="720" w14:anchorId="2ED6A190">
          <v:shape id="_x0000_i1026" type="#_x0000_t75" alt="" style="width:193.6pt;height:36.25pt;mso-width-percent:0;mso-height-percent:0;mso-width-percent:0;mso-height-percent:0" o:ole="">
            <v:imagedata r:id="rId7" o:title=""/>
          </v:shape>
          <o:OLEObject Type="Embed" ProgID="Equation.3" ShapeID="_x0000_i1026" DrawAspect="Content" ObjectID="_1618845594" r:id="rId8"/>
        </w:object>
      </w:r>
      <w:r>
        <w:tab/>
        <w:t>(2)</w:t>
      </w:r>
    </w:p>
    <w:p w14:paraId="4B3DFE1C" w14:textId="77777777" w:rsidR="00067CDA" w:rsidRDefault="00067CDA">
      <w:pPr>
        <w:tabs>
          <w:tab w:val="right" w:pos="8280"/>
        </w:tabs>
      </w:pPr>
    </w:p>
    <w:p w14:paraId="244A5503" w14:textId="77777777" w:rsidR="00067CDA" w:rsidRDefault="00067CDA">
      <w:pPr>
        <w:tabs>
          <w:tab w:val="right" w:pos="8280"/>
        </w:tabs>
      </w:pPr>
      <w:r>
        <w:rPr>
          <w:position w:val="-26"/>
        </w:rPr>
        <w:object w:dxaOrig="5600" w:dyaOrig="1020" w14:anchorId="7B00EA2D">
          <v:shape id="_x0000_i1027" type="#_x0000_t75" alt="" style="width:280.55pt;height:51.2pt;mso-width-percent:0;mso-height-percent:0;mso-width-percent:0;mso-height-percent:0" o:ole="">
            <v:imagedata r:id="rId9" o:title=""/>
          </v:shape>
          <o:OLEObject Type="Embed" ProgID="Equation.3" ShapeID="_x0000_i1027" DrawAspect="Content" ObjectID="_1618845595" r:id="rId10"/>
        </w:object>
      </w:r>
      <w:r>
        <w:tab/>
        <w:t>(3)</w:t>
      </w:r>
    </w:p>
    <w:p w14:paraId="52AC0996" w14:textId="77777777" w:rsidR="00067CDA" w:rsidRDefault="00067CDA">
      <w:pPr>
        <w:tabs>
          <w:tab w:val="right" w:pos="8280"/>
        </w:tabs>
      </w:pPr>
    </w:p>
    <w:p w14:paraId="2CF8B3DB" w14:textId="77777777" w:rsidR="00067CDA" w:rsidRDefault="00067CDA">
      <w:pPr>
        <w:tabs>
          <w:tab w:val="right" w:pos="8280"/>
        </w:tabs>
      </w:pPr>
      <w:r>
        <w:rPr>
          <w:position w:val="-26"/>
        </w:rPr>
        <w:object w:dxaOrig="4800" w:dyaOrig="1060" w14:anchorId="6D24AA85">
          <v:shape id="_x0000_i1028" type="#_x0000_t75" alt="" style="width:240pt;height:53.35pt;mso-width-percent:0;mso-height-percent:0;mso-width-percent:0;mso-height-percent:0" o:ole="">
            <v:imagedata r:id="rId11" o:title=""/>
          </v:shape>
          <o:OLEObject Type="Embed" ProgID="Equation.3" ShapeID="_x0000_i1028" DrawAspect="Content" ObjectID="_1618845596" r:id="rId12"/>
        </w:object>
      </w:r>
      <w:r>
        <w:tab/>
        <w:t>(4)</w:t>
      </w:r>
    </w:p>
    <w:p w14:paraId="5C18B5C5" w14:textId="77777777" w:rsidR="00067CDA" w:rsidRDefault="00067CDA">
      <w:pPr>
        <w:tabs>
          <w:tab w:val="right" w:pos="8280"/>
        </w:tabs>
      </w:pPr>
    </w:p>
    <w:p w14:paraId="3B021EE8" w14:textId="77777777" w:rsidR="00067CDA" w:rsidRDefault="00067CDA">
      <w:pPr>
        <w:tabs>
          <w:tab w:val="right" w:pos="8280"/>
        </w:tabs>
      </w:pPr>
      <w:r>
        <w:rPr>
          <w:position w:val="-32"/>
        </w:rPr>
        <w:object w:dxaOrig="3880" w:dyaOrig="760" w14:anchorId="32AE98FE">
          <v:shape id="_x0000_i1029" type="#_x0000_t75" alt="" style="width:193.6pt;height:37.85pt;mso-width-percent:0;mso-height-percent:0;mso-width-percent:0;mso-height-percent:0" o:ole="">
            <v:imagedata r:id="rId13" o:title=""/>
          </v:shape>
          <o:OLEObject Type="Embed" ProgID="Equation.3" ShapeID="_x0000_i1029" DrawAspect="Content" ObjectID="_1618845597" r:id="rId14"/>
        </w:object>
      </w:r>
      <w:r>
        <w:tab/>
        <w:t>(5)</w:t>
      </w:r>
    </w:p>
    <w:p w14:paraId="5B688A0A" w14:textId="77777777" w:rsidR="00067CDA" w:rsidRDefault="00067CDA">
      <w:pPr>
        <w:tabs>
          <w:tab w:val="right" w:pos="8280"/>
        </w:tabs>
      </w:pPr>
    </w:p>
    <w:p w14:paraId="548480B7" w14:textId="77777777" w:rsidR="00067CDA" w:rsidRDefault="00067CDA">
      <w:pPr>
        <w:tabs>
          <w:tab w:val="right" w:pos="8280"/>
        </w:tabs>
      </w:pPr>
      <w:r>
        <w:rPr>
          <w:position w:val="-26"/>
        </w:rPr>
        <w:object w:dxaOrig="2160" w:dyaOrig="660" w14:anchorId="6F3018AB">
          <v:shape id="_x0000_i1030" type="#_x0000_t75" alt="" style="width:108.25pt;height:32.55pt;mso-width-percent:0;mso-height-percent:0;mso-width-percent:0;mso-height-percent:0" o:ole="">
            <v:imagedata r:id="rId15" o:title=""/>
          </v:shape>
          <o:OLEObject Type="Embed" ProgID="Equation.3" ShapeID="_x0000_i1030" DrawAspect="Content" ObjectID="_1618845598" r:id="rId16"/>
        </w:object>
      </w:r>
      <w:r>
        <w:tab/>
        <w:t>(6)</w:t>
      </w:r>
    </w:p>
    <w:p w14:paraId="7A4AD993" w14:textId="77777777" w:rsidR="00067CDA" w:rsidRDefault="00067CDA">
      <w:pPr>
        <w:tabs>
          <w:tab w:val="right" w:pos="8280"/>
        </w:tabs>
      </w:pPr>
    </w:p>
    <w:p w14:paraId="2489C83A" w14:textId="77777777" w:rsidR="00067CDA" w:rsidRDefault="00067CDA">
      <w:pPr>
        <w:tabs>
          <w:tab w:val="right" w:pos="8280"/>
        </w:tabs>
      </w:pPr>
      <w:r>
        <w:rPr>
          <w:position w:val="-32"/>
        </w:rPr>
        <w:object w:dxaOrig="3680" w:dyaOrig="760" w14:anchorId="232F5481">
          <v:shape id="_x0000_i1031" type="#_x0000_t75" alt="" style="width:184pt;height:37.85pt;mso-width-percent:0;mso-height-percent:0;mso-width-percent:0;mso-height-percent:0" o:ole="">
            <v:imagedata r:id="rId17" o:title=""/>
          </v:shape>
          <o:OLEObject Type="Embed" ProgID="Equation.3" ShapeID="_x0000_i1031" DrawAspect="Content" ObjectID="_1618845599" r:id="rId18"/>
        </w:object>
      </w:r>
      <w:r>
        <w:tab/>
        <w:t>(7)</w:t>
      </w:r>
    </w:p>
    <w:p w14:paraId="54D31B3B" w14:textId="77777777" w:rsidR="00067CDA" w:rsidRDefault="00067CDA">
      <w:pPr>
        <w:tabs>
          <w:tab w:val="right" w:pos="8280"/>
        </w:tabs>
      </w:pPr>
    </w:p>
    <w:p w14:paraId="41C88F2F" w14:textId="77777777" w:rsidR="00067CDA" w:rsidRDefault="00067CDA">
      <w:pPr>
        <w:tabs>
          <w:tab w:val="right" w:pos="8280"/>
        </w:tabs>
      </w:pPr>
      <w:r w:rsidRPr="00067CDA">
        <w:rPr>
          <w:position w:val="-32"/>
        </w:rPr>
        <w:object w:dxaOrig="1760" w:dyaOrig="740" w14:anchorId="69C9A06B">
          <v:shape id="_x0000_i1076" type="#_x0000_t75" style="width:88pt;height:36.8pt" o:ole="">
            <v:imagedata r:id="rId19" o:title=""/>
          </v:shape>
          <o:OLEObject Type="Embed" ProgID="Equation.3" ShapeID="_x0000_i1076" DrawAspect="Content" ObjectID="_1618845600" r:id="rId20"/>
        </w:object>
      </w:r>
      <w:r>
        <w:t xml:space="preserve">   </w:t>
      </w:r>
      <w:r w:rsidR="00C768A5">
        <w:t xml:space="preserve">  From IUPAC 2000, but see </w:t>
      </w:r>
      <w:proofErr w:type="gramStart"/>
      <w:r w:rsidR="00C768A5">
        <w:t>pg</w:t>
      </w:r>
      <w:proofErr w:type="gramEnd"/>
      <w:r w:rsidR="00C768A5">
        <w:t>. 3</w:t>
      </w:r>
      <w:bookmarkStart w:id="0" w:name="_GoBack"/>
      <w:bookmarkEnd w:id="0"/>
      <w:r>
        <w:t xml:space="preserve"> for direct measurement.</w:t>
      </w:r>
      <w:r>
        <w:tab/>
        <w:t>(8)</w:t>
      </w:r>
    </w:p>
    <w:p w14:paraId="4629D55E" w14:textId="77777777" w:rsidR="00067CDA" w:rsidRDefault="00067CDA">
      <w:pPr>
        <w:tabs>
          <w:tab w:val="right" w:pos="8280"/>
        </w:tabs>
      </w:pPr>
    </w:p>
    <w:p w14:paraId="4DEB4214" w14:textId="77777777" w:rsidR="00067CDA" w:rsidRDefault="00067CDA">
      <w:pPr>
        <w:tabs>
          <w:tab w:val="right" w:pos="8280"/>
        </w:tabs>
      </w:pPr>
      <w:r w:rsidRPr="00067CDA">
        <w:rPr>
          <w:position w:val="-30"/>
        </w:rPr>
        <w:object w:dxaOrig="6420" w:dyaOrig="700" w14:anchorId="771C149D">
          <v:shape id="_x0000_i1073" type="#_x0000_t75" style="width:321.05pt;height:34.65pt" o:ole="">
            <v:imagedata r:id="rId21" o:title=""/>
          </v:shape>
          <o:OLEObject Type="Embed" ProgID="Equation.3" ShapeID="_x0000_i1073" DrawAspect="Content" ObjectID="_1618845601" r:id="rId22"/>
        </w:object>
      </w:r>
      <w:r>
        <w:tab/>
        <w:t>(9)</w:t>
      </w:r>
    </w:p>
    <w:p w14:paraId="5552C551" w14:textId="77777777" w:rsidR="00067CDA" w:rsidRDefault="00067CDA">
      <w:pPr>
        <w:tabs>
          <w:tab w:val="right" w:pos="8280"/>
        </w:tabs>
      </w:pPr>
    </w:p>
    <w:p w14:paraId="63689C46" w14:textId="77777777" w:rsidR="00067CDA" w:rsidRDefault="00067CDA">
      <w:pPr>
        <w:tabs>
          <w:tab w:val="right" w:pos="8280"/>
        </w:tabs>
      </w:pPr>
      <w:r w:rsidRPr="00067CDA">
        <w:rPr>
          <w:position w:val="-30"/>
        </w:rPr>
        <w:object w:dxaOrig="3000" w:dyaOrig="700" w14:anchorId="0B4FD2E2">
          <v:shape id="_x0000_i1070" type="#_x0000_t75" style="width:149.85pt;height:34.65pt" o:ole="">
            <v:imagedata r:id="rId23" o:title=""/>
          </v:shape>
          <o:OLEObject Type="Embed" ProgID="Equation.3" ShapeID="_x0000_i1070" DrawAspect="Content" ObjectID="_1618845602" r:id="rId24"/>
        </w:object>
      </w:r>
      <w:r>
        <w:tab/>
        <w:t>(10)</w:t>
      </w:r>
    </w:p>
    <w:p w14:paraId="3F402031" w14:textId="77777777" w:rsidR="00067CDA" w:rsidRDefault="00067CDA">
      <w:pPr>
        <w:tabs>
          <w:tab w:val="right" w:pos="8280"/>
        </w:tabs>
      </w:pPr>
    </w:p>
    <w:p w14:paraId="1A1FCDD2" w14:textId="77777777" w:rsidR="00067CDA" w:rsidRDefault="00067CDA">
      <w:pPr>
        <w:tabs>
          <w:tab w:val="right" w:pos="8280"/>
        </w:tabs>
      </w:pPr>
      <w:r>
        <w:rPr>
          <w:position w:val="-88"/>
        </w:rPr>
        <w:object w:dxaOrig="7160" w:dyaOrig="1300" w14:anchorId="1059E7B8">
          <v:shape id="_x0000_i1067" type="#_x0000_t75" style="width:357.85pt;height:65.05pt" o:ole="">
            <v:imagedata r:id="rId25" o:title=""/>
          </v:shape>
          <o:OLEObject Type="Embed" ProgID="Equation.3" ShapeID="_x0000_i1067" DrawAspect="Content" ObjectID="_1618845603" r:id="rId26"/>
        </w:object>
      </w:r>
      <w:r>
        <w:tab/>
        <w:t>(11)</w:t>
      </w:r>
    </w:p>
    <w:p w14:paraId="5127B8D8" w14:textId="77777777" w:rsidR="00067CDA" w:rsidRDefault="00067CDA">
      <w:pPr>
        <w:tabs>
          <w:tab w:val="right" w:pos="8280"/>
        </w:tabs>
      </w:pPr>
    </w:p>
    <w:p w14:paraId="7BEB2236" w14:textId="77777777" w:rsidR="00067CDA" w:rsidRDefault="00067CDA">
      <w:pPr>
        <w:tabs>
          <w:tab w:val="right" w:pos="8280"/>
        </w:tabs>
      </w:pPr>
      <w:r>
        <w:t xml:space="preserve">The final form of eqn. 11 accommodates those accustomed to both measuring and then entering the </w:t>
      </w:r>
      <w:r>
        <w:rPr>
          <w:vertAlign w:val="superscript"/>
        </w:rPr>
        <w:t>233</w:t>
      </w:r>
      <w:r>
        <w:t>U/</w:t>
      </w:r>
      <w:r>
        <w:rPr>
          <w:vertAlign w:val="superscript"/>
        </w:rPr>
        <w:t>235</w:t>
      </w:r>
      <w:r>
        <w:t xml:space="preserve">U ratio into data reduction software. </w:t>
      </w:r>
    </w:p>
    <w:p w14:paraId="068C7977" w14:textId="77777777" w:rsidR="00067CDA" w:rsidRDefault="00067CDA">
      <w:pPr>
        <w:tabs>
          <w:tab w:val="right" w:pos="8280"/>
        </w:tabs>
      </w:pPr>
    </w:p>
    <w:p w14:paraId="561C89D8" w14:textId="77777777" w:rsidR="00067CDA" w:rsidRDefault="00067CDA">
      <w:pPr>
        <w:tabs>
          <w:tab w:val="right" w:pos="8280"/>
        </w:tabs>
      </w:pPr>
      <w:r>
        <w:t xml:space="preserve">For correcting the </w:t>
      </w:r>
      <w:r>
        <w:rPr>
          <w:vertAlign w:val="superscript"/>
        </w:rPr>
        <w:t>238</w:t>
      </w:r>
      <w:r>
        <w:t>U/</w:t>
      </w:r>
      <w:r>
        <w:rPr>
          <w:vertAlign w:val="superscript"/>
        </w:rPr>
        <w:t>235</w:t>
      </w:r>
      <w:r>
        <w:t>U ratio:</w:t>
      </w:r>
    </w:p>
    <w:p w14:paraId="1FE1057A" w14:textId="77777777" w:rsidR="00067CDA" w:rsidRDefault="00067CDA">
      <w:pPr>
        <w:tabs>
          <w:tab w:val="right" w:pos="8280"/>
        </w:tabs>
      </w:pPr>
    </w:p>
    <w:p w14:paraId="169BE347" w14:textId="77777777" w:rsidR="00067CDA" w:rsidRDefault="00067CDA">
      <w:pPr>
        <w:tabs>
          <w:tab w:val="right" w:pos="8280"/>
        </w:tabs>
      </w:pPr>
      <w:r>
        <w:rPr>
          <w:position w:val="-26"/>
        </w:rPr>
        <w:object w:dxaOrig="3040" w:dyaOrig="640" w14:anchorId="641B397C">
          <v:shape id="_x0000_i1036" type="#_x0000_t75" alt="" style="width:151.45pt;height:32pt;mso-width-percent:0;mso-height-percent:0;mso-width-percent:0;mso-height-percent:0" o:ole="">
            <v:imagedata r:id="rId27" o:title=""/>
          </v:shape>
          <o:OLEObject Type="Embed" ProgID="Equation.3" ShapeID="_x0000_i1036" DrawAspect="Content" ObjectID="_1618845604" r:id="rId28"/>
        </w:object>
      </w:r>
      <w:r>
        <w:tab/>
        <w:t>(12)</w:t>
      </w:r>
    </w:p>
    <w:p w14:paraId="756AD8FB" w14:textId="77777777" w:rsidR="00067CDA" w:rsidRDefault="00067CDA">
      <w:pPr>
        <w:tabs>
          <w:tab w:val="right" w:pos="8280"/>
        </w:tabs>
      </w:pPr>
    </w:p>
    <w:p w14:paraId="1F130C3F" w14:textId="77777777" w:rsidR="00067CDA" w:rsidRDefault="00067CDA">
      <w:pPr>
        <w:tabs>
          <w:tab w:val="right" w:pos="8280"/>
        </w:tabs>
      </w:pPr>
      <w:r>
        <w:rPr>
          <w:position w:val="-26"/>
        </w:rPr>
        <w:object w:dxaOrig="3040" w:dyaOrig="640" w14:anchorId="03793A5E">
          <v:shape id="_x0000_i1037" type="#_x0000_t75" alt="" style="width:151.45pt;height:32pt;mso-width-percent:0;mso-height-percent:0;mso-width-percent:0;mso-height-percent:0" o:ole="">
            <v:imagedata r:id="rId29" o:title=""/>
          </v:shape>
          <o:OLEObject Type="Embed" ProgID="Equation.3" ShapeID="_x0000_i1037" DrawAspect="Content" ObjectID="_1618845605" r:id="rId30"/>
        </w:object>
      </w:r>
      <w:r>
        <w:tab/>
        <w:t>(13)</w:t>
      </w:r>
    </w:p>
    <w:p w14:paraId="38C9987D" w14:textId="77777777" w:rsidR="00067CDA" w:rsidRDefault="00067CDA">
      <w:pPr>
        <w:tabs>
          <w:tab w:val="right" w:pos="8280"/>
        </w:tabs>
      </w:pPr>
    </w:p>
    <w:p w14:paraId="28EBD7D1" w14:textId="77777777" w:rsidR="00067CDA" w:rsidRDefault="00067CDA">
      <w:pPr>
        <w:tabs>
          <w:tab w:val="right" w:pos="8280"/>
        </w:tabs>
      </w:pPr>
      <w:r>
        <w:t>Combining with eqn. 11…</w:t>
      </w:r>
    </w:p>
    <w:p w14:paraId="7AC32FAF" w14:textId="77777777" w:rsidR="00067CDA" w:rsidRDefault="00067CDA">
      <w:pPr>
        <w:tabs>
          <w:tab w:val="right" w:pos="8280"/>
        </w:tabs>
      </w:pPr>
    </w:p>
    <w:p w14:paraId="2D0946B5" w14:textId="77777777" w:rsidR="00067CDA" w:rsidRDefault="00067CDA">
      <w:pPr>
        <w:tabs>
          <w:tab w:val="right" w:pos="8280"/>
        </w:tabs>
      </w:pPr>
      <w:r>
        <w:rPr>
          <w:position w:val="-88"/>
        </w:rPr>
        <w:object w:dxaOrig="5060" w:dyaOrig="1300" w14:anchorId="5CC0E656">
          <v:shape id="_x0000_i1064" type="#_x0000_t75" style="width:252.8pt;height:65.05pt" o:ole="">
            <v:imagedata r:id="rId31" o:title=""/>
          </v:shape>
          <o:OLEObject Type="Embed" ProgID="Equation.3" ShapeID="_x0000_i1064" DrawAspect="Content" ObjectID="_1618845606" r:id="rId32"/>
        </w:object>
      </w:r>
      <w:r>
        <w:tab/>
        <w:t>(14)</w:t>
      </w:r>
    </w:p>
    <w:p w14:paraId="57EA6A97" w14:textId="77777777" w:rsidR="00067CDA" w:rsidRDefault="00067CDA">
      <w:pPr>
        <w:tabs>
          <w:tab w:val="right" w:pos="8280"/>
        </w:tabs>
      </w:pPr>
    </w:p>
    <w:p w14:paraId="5707FEB7" w14:textId="77777777" w:rsidR="00067CDA" w:rsidRDefault="00067CDA">
      <w:pPr>
        <w:tabs>
          <w:tab w:val="right" w:pos="8280"/>
        </w:tabs>
      </w:pPr>
      <w:r>
        <w:t xml:space="preserve">For those used to measuring the </w:t>
      </w:r>
      <w:r>
        <w:rPr>
          <w:vertAlign w:val="superscript"/>
        </w:rPr>
        <w:t>238</w:t>
      </w:r>
      <w:r>
        <w:t>U/</w:t>
      </w:r>
      <w:r>
        <w:rPr>
          <w:vertAlign w:val="superscript"/>
        </w:rPr>
        <w:t>235</w:t>
      </w:r>
      <w:r>
        <w:t xml:space="preserve">U and </w:t>
      </w:r>
      <w:r>
        <w:rPr>
          <w:vertAlign w:val="superscript"/>
        </w:rPr>
        <w:t>233</w:t>
      </w:r>
      <w:r>
        <w:t>U/</w:t>
      </w:r>
      <w:r>
        <w:rPr>
          <w:vertAlign w:val="superscript"/>
        </w:rPr>
        <w:t>235</w:t>
      </w:r>
      <w:r>
        <w:t>U ratios…</w:t>
      </w:r>
    </w:p>
    <w:p w14:paraId="68C3A6D8" w14:textId="77777777" w:rsidR="00067CDA" w:rsidRDefault="00067CDA">
      <w:pPr>
        <w:tabs>
          <w:tab w:val="right" w:pos="8280"/>
        </w:tabs>
      </w:pPr>
    </w:p>
    <w:p w14:paraId="34E489AE" w14:textId="77777777" w:rsidR="00067CDA" w:rsidRDefault="00067CDA">
      <w:pPr>
        <w:tabs>
          <w:tab w:val="right" w:pos="8280"/>
        </w:tabs>
      </w:pPr>
      <w:r>
        <w:rPr>
          <w:position w:val="-88"/>
        </w:rPr>
        <w:object w:dxaOrig="2100" w:dyaOrig="1280" w14:anchorId="6F51684D">
          <v:shape id="_x0000_i1039" type="#_x0000_t75" alt="" style="width:105.05pt;height:64.55pt;mso-width-percent:0;mso-height-percent:0;mso-width-percent:0;mso-height-percent:0" o:ole="">
            <v:imagedata r:id="rId33" o:title=""/>
          </v:shape>
          <o:OLEObject Type="Embed" ProgID="Equation.3" ShapeID="_x0000_i1039" DrawAspect="Content" ObjectID="_1618845607" r:id="rId34"/>
        </w:object>
      </w:r>
      <w:r>
        <w:tab/>
        <w:t>(15)</w:t>
      </w:r>
    </w:p>
    <w:p w14:paraId="3E82B08D" w14:textId="77777777" w:rsidR="00067CDA" w:rsidRDefault="00067CDA">
      <w:pPr>
        <w:tabs>
          <w:tab w:val="right" w:pos="8280"/>
        </w:tabs>
      </w:pPr>
    </w:p>
    <w:p w14:paraId="36BBF0FB" w14:textId="77777777" w:rsidR="00067CDA" w:rsidRDefault="00067CDA">
      <w:pPr>
        <w:tabs>
          <w:tab w:val="right" w:pos="8280"/>
        </w:tabs>
      </w:pPr>
      <w:r>
        <w:rPr>
          <w:position w:val="-88"/>
        </w:rPr>
        <w:object w:dxaOrig="4060" w:dyaOrig="1580" w14:anchorId="211B43DE">
          <v:shape id="_x0000_i1061" type="#_x0000_t75" style="width:203.2pt;height:78.95pt" o:ole="">
            <v:imagedata r:id="rId35" o:title=""/>
          </v:shape>
          <o:OLEObject Type="Embed" ProgID="Equation.3" ShapeID="_x0000_i1061" DrawAspect="Content" ObjectID="_1618845608" r:id="rId36"/>
        </w:object>
      </w:r>
      <w:r>
        <w:tab/>
        <w:t>(16)</w:t>
      </w:r>
    </w:p>
    <w:p w14:paraId="6318AC44" w14:textId="77777777" w:rsidR="00067CDA" w:rsidRDefault="00067CDA">
      <w:pPr>
        <w:tabs>
          <w:tab w:val="right" w:pos="8280"/>
        </w:tabs>
      </w:pPr>
    </w:p>
    <w:p w14:paraId="449599CC" w14:textId="77777777" w:rsidR="00067CDA" w:rsidRDefault="00067CDA" w:rsidP="00067CDA">
      <w:pPr>
        <w:tabs>
          <w:tab w:val="right" w:pos="8280"/>
        </w:tabs>
        <w:jc w:val="both"/>
      </w:pPr>
      <w:r>
        <w:t xml:space="preserve">This last form accommodates those accustomed to both measuring and entering the </w:t>
      </w:r>
      <w:r>
        <w:rPr>
          <w:vertAlign w:val="superscript"/>
        </w:rPr>
        <w:t>238</w:t>
      </w:r>
      <w:r>
        <w:t>U/</w:t>
      </w:r>
      <w:r>
        <w:rPr>
          <w:vertAlign w:val="superscript"/>
        </w:rPr>
        <w:t>235</w:t>
      </w:r>
      <w:r>
        <w:t xml:space="preserve">U and </w:t>
      </w:r>
      <w:r>
        <w:rPr>
          <w:vertAlign w:val="superscript"/>
        </w:rPr>
        <w:t>233</w:t>
      </w:r>
      <w:r>
        <w:t>U/</w:t>
      </w:r>
      <w:r>
        <w:rPr>
          <w:vertAlign w:val="superscript"/>
        </w:rPr>
        <w:t>235</w:t>
      </w:r>
      <w:r>
        <w:t xml:space="preserve">U ratios into data reduction software.  </w:t>
      </w:r>
      <w:r w:rsidR="00C768A5">
        <w:t xml:space="preserve">These </w:t>
      </w:r>
      <w:r>
        <w:t xml:space="preserve">corrections (eqns. 11 and 16) can be simply added as functions </w:t>
      </w:r>
      <w:r w:rsidR="00C768A5">
        <w:t xml:space="preserve">in the user </w:t>
      </w:r>
      <w:proofErr w:type="spellStart"/>
      <w:r w:rsidR="00C768A5">
        <w:t>maths</w:t>
      </w:r>
      <w:proofErr w:type="spellEnd"/>
      <w:r w:rsidR="00C768A5">
        <w:t xml:space="preserve"> of the mass spectrometer method files, or</w:t>
      </w:r>
      <w:r>
        <w:t xml:space="preserve"> </w:t>
      </w:r>
      <w:r w:rsidR="00C768A5">
        <w:t>they</w:t>
      </w:r>
      <w:r>
        <w:t xml:space="preserve"> can be done off-line (for example as a group of cells within the </w:t>
      </w:r>
      <w:proofErr w:type="spellStart"/>
      <w:r w:rsidR="00C768A5">
        <w:t>UPbR</w:t>
      </w:r>
      <w:proofErr w:type="spellEnd"/>
      <w:r w:rsidR="00C768A5">
        <w:t xml:space="preserve"> data reduction workbook</w:t>
      </w:r>
      <w:r>
        <w:t>).</w:t>
      </w:r>
    </w:p>
    <w:p w14:paraId="3A3A12EF" w14:textId="77777777" w:rsidR="00067CDA" w:rsidRDefault="00067CDA" w:rsidP="00067CDA">
      <w:pPr>
        <w:tabs>
          <w:tab w:val="right" w:pos="8280"/>
        </w:tabs>
        <w:jc w:val="both"/>
      </w:pPr>
    </w:p>
    <w:p w14:paraId="60F51CE9" w14:textId="77777777" w:rsidR="00067CDA" w:rsidRDefault="00067CDA" w:rsidP="00067CDA">
      <w:pPr>
        <w:tabs>
          <w:tab w:val="right" w:pos="8280"/>
        </w:tabs>
        <w:jc w:val="both"/>
      </w:pPr>
      <w:r>
        <w:t xml:space="preserve">These algorithms, including the assumed </w:t>
      </w:r>
      <w:r>
        <w:rPr>
          <w:vertAlign w:val="superscript"/>
        </w:rPr>
        <w:t>18</w:t>
      </w:r>
      <w:r>
        <w:t xml:space="preserve">O abundance </w:t>
      </w:r>
      <w:r w:rsidR="00C768A5">
        <w:t>have been</w:t>
      </w:r>
      <w:r>
        <w:t xml:space="preserve"> confirmed empirically by splitting large spiked sample U loads and running as both metal and oxide. When combined with the sample </w:t>
      </w:r>
      <w:proofErr w:type="spellStart"/>
      <w:r>
        <w:t>Pb</w:t>
      </w:r>
      <w:proofErr w:type="spellEnd"/>
      <w:r>
        <w:t xml:space="preserve"> isotope abundances, there </w:t>
      </w:r>
      <w:r w:rsidR="00C768A5">
        <w:t>is</w:t>
      </w:r>
      <w:r>
        <w:t xml:space="preserve"> excellent agreement (better than 0.1%) in calculated </w:t>
      </w:r>
      <w:proofErr w:type="spellStart"/>
      <w:r>
        <w:t>Pb</w:t>
      </w:r>
      <w:proofErr w:type="spellEnd"/>
      <w:r>
        <w:t>/U ratios between the metal and corrected oxide uranium isotope measurements.</w:t>
      </w:r>
    </w:p>
    <w:p w14:paraId="3662F86D" w14:textId="77777777" w:rsidR="00067CDA" w:rsidRDefault="00067CDA" w:rsidP="00067CDA">
      <w:pPr>
        <w:tabs>
          <w:tab w:val="right" w:pos="8280"/>
        </w:tabs>
        <w:jc w:val="both"/>
      </w:pPr>
    </w:p>
    <w:p w14:paraId="0DE14903" w14:textId="77777777" w:rsidR="00067CDA" w:rsidRPr="00067CDA" w:rsidRDefault="00067CDA" w:rsidP="00067CDA">
      <w:pPr>
        <w:pStyle w:val="Heading2"/>
      </w:pPr>
      <w:r>
        <w:t>Part II. Oxygen isotope</w:t>
      </w:r>
      <w:r w:rsidRPr="00067CDA">
        <w:rPr>
          <w:spacing w:val="-8"/>
        </w:rPr>
        <w:t xml:space="preserve"> </w:t>
      </w:r>
      <w:r>
        <w:t>composition</w:t>
      </w:r>
      <w:r w:rsidRPr="00067CDA">
        <w:rPr>
          <w:spacing w:val="-2"/>
        </w:rPr>
        <w:t xml:space="preserve"> </w:t>
      </w:r>
      <w:r w:rsidRPr="00067CDA">
        <w:t>determination</w:t>
      </w:r>
      <w:r w:rsidRPr="00067CDA">
        <w:rPr>
          <w:spacing w:val="-6"/>
        </w:rPr>
        <w:t xml:space="preserve"> </w:t>
      </w:r>
      <w:r w:rsidRPr="00067CDA">
        <w:t>by</w:t>
      </w:r>
      <w:r w:rsidRPr="00067CDA">
        <w:rPr>
          <w:spacing w:val="-6"/>
        </w:rPr>
        <w:t xml:space="preserve"> </w:t>
      </w:r>
      <w:r w:rsidRPr="00067CDA">
        <w:t>direct measurement of natural</w:t>
      </w:r>
      <w:r w:rsidRPr="00067CDA">
        <w:rPr>
          <w:spacing w:val="-1"/>
        </w:rPr>
        <w:t xml:space="preserve"> </w:t>
      </w:r>
      <w:r w:rsidRPr="00067CDA">
        <w:rPr>
          <w:spacing w:val="-10"/>
        </w:rPr>
        <w:t>U</w:t>
      </w:r>
    </w:p>
    <w:p w14:paraId="16BAC2A5" w14:textId="77777777" w:rsidR="00067CDA" w:rsidRDefault="00067CDA" w:rsidP="00067CDA">
      <w:pPr>
        <w:spacing w:after="120"/>
        <w:ind w:left="104"/>
      </w:pPr>
      <w:r>
        <w:t>Measurement of the uranium isotopic composition of double-spiked (</w:t>
      </w:r>
      <w:r>
        <w:rPr>
          <w:vertAlign w:val="superscript"/>
        </w:rPr>
        <w:t>233</w:t>
      </w:r>
      <w:r>
        <w:t>U-</w:t>
      </w:r>
      <w:r>
        <w:rPr>
          <w:vertAlign w:val="superscript"/>
        </w:rPr>
        <w:t>235</w:t>
      </w:r>
      <w:r>
        <w:t xml:space="preserve">U or </w:t>
      </w:r>
      <w:r>
        <w:rPr>
          <w:vertAlign w:val="superscript"/>
        </w:rPr>
        <w:t>233</w:t>
      </w:r>
      <w:r>
        <w:t>U-</w:t>
      </w:r>
      <w:r>
        <w:rPr>
          <w:vertAlign w:val="superscript"/>
        </w:rPr>
        <w:t>236</w:t>
      </w:r>
      <w:r>
        <w:t>U)</w:t>
      </w:r>
      <w:r>
        <w:rPr>
          <w:spacing w:val="-4"/>
        </w:rPr>
        <w:t xml:space="preserve"> </w:t>
      </w:r>
      <w:r>
        <w:t>samples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UO</w:t>
      </w:r>
      <w:r w:rsidRPr="00841CDD">
        <w:rPr>
          <w:vertAlign w:val="subscript"/>
        </w:rPr>
        <w:t>2</w:t>
      </w:r>
      <w:r>
        <w:rPr>
          <w:vertAlign w:val="superscript"/>
        </w:rPr>
        <w:t>+</w:t>
      </w:r>
      <w:r>
        <w:rPr>
          <w:spacing w:val="-8"/>
        </w:rPr>
        <w:t xml:space="preserve"> </w:t>
      </w:r>
      <w:r>
        <w:t>species</w:t>
      </w:r>
      <w:r>
        <w:rPr>
          <w:spacing w:val="-8"/>
        </w:rPr>
        <w:t xml:space="preserve"> </w:t>
      </w:r>
      <w:r>
        <w:t>requires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subtraction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isobaric</w:t>
      </w:r>
      <w:r>
        <w:rPr>
          <w:spacing w:val="-7"/>
        </w:rPr>
        <w:t xml:space="preserve"> </w:t>
      </w:r>
      <w:r>
        <w:t>interference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vertAlign w:val="superscript"/>
        </w:rPr>
        <w:t>18</w:t>
      </w:r>
      <w:r>
        <w:t>O-</w:t>
      </w:r>
      <w:r w:rsidRPr="00841CDD">
        <w:t xml:space="preserve">bearing </w:t>
      </w:r>
      <w:r w:rsidRPr="00841CDD">
        <w:rPr>
          <w:vertAlign w:val="superscript"/>
        </w:rPr>
        <w:t>233</w:t>
      </w:r>
      <w:r w:rsidRPr="00841CDD">
        <w:t>UO</w:t>
      </w:r>
      <w:r w:rsidRPr="00841CDD">
        <w:rPr>
          <w:vertAlign w:val="subscript"/>
        </w:rPr>
        <w:t>2</w:t>
      </w:r>
      <w:r w:rsidRPr="00841CDD">
        <w:t xml:space="preserve"> on the predominant target </w:t>
      </w:r>
      <w:r w:rsidRPr="00841CDD">
        <w:rPr>
          <w:vertAlign w:val="superscript"/>
        </w:rPr>
        <w:t>235</w:t>
      </w:r>
      <w:r w:rsidRPr="00841CDD">
        <w:t>U</w:t>
      </w:r>
      <w:r w:rsidRPr="00841CDD">
        <w:rPr>
          <w:vertAlign w:val="superscript"/>
        </w:rPr>
        <w:t>16</w:t>
      </w:r>
      <w:r w:rsidRPr="00841CDD">
        <w:t>O peak at mass 267 (Schmitz, 2004), or</w:t>
      </w:r>
      <w:r>
        <w:t xml:space="preserve"> the</w:t>
      </w:r>
      <w:r>
        <w:rPr>
          <w:spacing w:val="-9"/>
        </w:rPr>
        <w:t xml:space="preserve"> </w:t>
      </w:r>
      <w:r>
        <w:t>isobaric</w:t>
      </w:r>
      <w:r>
        <w:rPr>
          <w:spacing w:val="-9"/>
        </w:rPr>
        <w:t xml:space="preserve"> </w:t>
      </w:r>
      <w:r>
        <w:t>interference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vertAlign w:val="superscript"/>
        </w:rPr>
        <w:t>18</w:t>
      </w:r>
      <w:r>
        <w:t>O-bearing</w:t>
      </w:r>
      <w:r>
        <w:rPr>
          <w:spacing w:val="-12"/>
        </w:rPr>
        <w:t xml:space="preserve"> </w:t>
      </w:r>
      <w:r>
        <w:rPr>
          <w:vertAlign w:val="superscript"/>
        </w:rPr>
        <w:t>236</w:t>
      </w:r>
      <w:r>
        <w:t>UO</w:t>
      </w:r>
      <w:r w:rsidRPr="00841CDD">
        <w:rPr>
          <w:vertAlign w:val="subscript"/>
        </w:rPr>
        <w:t>2</w:t>
      </w:r>
      <w:r>
        <w:rPr>
          <w:spacing w:val="40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predominant</w:t>
      </w:r>
      <w:r>
        <w:rPr>
          <w:spacing w:val="-8"/>
        </w:rPr>
        <w:t xml:space="preserve"> </w:t>
      </w:r>
      <w:r>
        <w:t>target</w:t>
      </w:r>
      <w:r>
        <w:rPr>
          <w:spacing w:val="-12"/>
        </w:rPr>
        <w:t xml:space="preserve"> </w:t>
      </w:r>
      <w:r>
        <w:rPr>
          <w:vertAlign w:val="superscript"/>
        </w:rPr>
        <w:t>238</w:t>
      </w:r>
      <w:r>
        <w:t>U</w:t>
      </w:r>
      <w:r>
        <w:rPr>
          <w:vertAlign w:val="superscript"/>
        </w:rPr>
        <w:t>16</w:t>
      </w:r>
      <w:r>
        <w:t>O</w:t>
      </w:r>
      <w:r>
        <w:rPr>
          <w:vertAlign w:val="subscript"/>
        </w:rPr>
        <w:t>2</w:t>
      </w:r>
      <w:r>
        <w:rPr>
          <w:spacing w:val="40"/>
        </w:rPr>
        <w:t xml:space="preserve"> </w:t>
      </w:r>
      <w:r>
        <w:t>peak</w:t>
      </w:r>
      <w:r>
        <w:rPr>
          <w:spacing w:val="-8"/>
        </w:rPr>
        <w:t xml:space="preserve"> </w:t>
      </w:r>
      <w:r>
        <w:t>at mass 270.</w:t>
      </w:r>
      <w:r>
        <w:rPr>
          <w:spacing w:val="40"/>
        </w:rPr>
        <w:t xml:space="preserve"> </w:t>
      </w:r>
      <w:r>
        <w:t>This requires an estimate of the isotopic composition of oxygen contributing to dioxide ion generation (see Part I).</w:t>
      </w:r>
    </w:p>
    <w:p w14:paraId="15CA0385" w14:textId="77777777" w:rsidR="00067CDA" w:rsidRDefault="00067CDA" w:rsidP="00067CDA">
      <w:pPr>
        <w:spacing w:after="120"/>
        <w:ind w:left="104"/>
      </w:pPr>
      <w:r>
        <w:t xml:space="preserve">This issue has been encountered in other high-precision isotopic determination where the isotopes were measured as oxide, most notably </w:t>
      </w:r>
      <w:proofErr w:type="spellStart"/>
      <w:r>
        <w:t>Wasserburg</w:t>
      </w:r>
      <w:proofErr w:type="spellEnd"/>
      <w:r>
        <w:t xml:space="preserve"> et al [</w:t>
      </w:r>
      <w:proofErr w:type="spellStart"/>
      <w:r>
        <w:rPr>
          <w:i/>
        </w:rPr>
        <w:t>Wasserburg</w:t>
      </w:r>
      <w:proofErr w:type="spellEnd"/>
      <w:r>
        <w:rPr>
          <w:i/>
        </w:rPr>
        <w:t xml:space="preserve"> et al.</w:t>
      </w:r>
      <w:r>
        <w:t xml:space="preserve">, 1981] on TIMS </w:t>
      </w:r>
      <w:proofErr w:type="spellStart"/>
      <w:r>
        <w:t>NdO</w:t>
      </w:r>
      <w:proofErr w:type="spellEnd"/>
      <w:r>
        <w:t xml:space="preserve"> measurements and recently associated with negative-ion TIMS </w:t>
      </w:r>
      <w:proofErr w:type="spellStart"/>
      <w:r>
        <w:t>Os</w:t>
      </w:r>
      <w:proofErr w:type="spellEnd"/>
      <w:r>
        <w:t xml:space="preserve"> analyses [</w:t>
      </w:r>
      <w:proofErr w:type="spellStart"/>
      <w:r>
        <w:rPr>
          <w:i/>
        </w:rPr>
        <w:t>Luguet</w:t>
      </w:r>
      <w:proofErr w:type="spellEnd"/>
      <w:r>
        <w:rPr>
          <w:i/>
        </w:rPr>
        <w:t xml:space="preserve"> et al.</w:t>
      </w:r>
      <w:r>
        <w:t>, 2008].</w:t>
      </w:r>
      <w:r>
        <w:rPr>
          <w:spacing w:val="40"/>
        </w:rPr>
        <w:t xml:space="preserve"> </w:t>
      </w:r>
      <w:proofErr w:type="spellStart"/>
      <w:r>
        <w:t>Wasserburg</w:t>
      </w:r>
      <w:proofErr w:type="spellEnd"/>
      <w:r>
        <w:t xml:space="preserve"> et al [</w:t>
      </w:r>
      <w:proofErr w:type="spellStart"/>
      <w:r>
        <w:rPr>
          <w:i/>
        </w:rPr>
        <w:t>Wasserburg</w:t>
      </w:r>
      <w:proofErr w:type="spellEnd"/>
      <w:r>
        <w:rPr>
          <w:i/>
        </w:rPr>
        <w:t xml:space="preserve"> et al.</w:t>
      </w:r>
      <w:r>
        <w:t>, 1981] documented direct</w:t>
      </w:r>
      <w:r>
        <w:rPr>
          <w:spacing w:val="-2"/>
        </w:rPr>
        <w:t xml:space="preserve"> </w:t>
      </w:r>
      <w:r>
        <w:t>measurement</w:t>
      </w:r>
      <w:r>
        <w:rPr>
          <w:spacing w:val="-2"/>
        </w:rPr>
        <w:t xml:space="preserve"> </w:t>
      </w:r>
      <w:r>
        <w:t>of the</w:t>
      </w:r>
      <w:r>
        <w:rPr>
          <w:spacing w:val="-3"/>
        </w:rPr>
        <w:t xml:space="preserve"> </w:t>
      </w:r>
      <w:proofErr w:type="spellStart"/>
      <w:r>
        <w:t>NdO</w:t>
      </w:r>
      <w:proofErr w:type="spellEnd"/>
      <w:r>
        <w:rPr>
          <w:vertAlign w:val="superscript"/>
        </w:rPr>
        <w:t>+</w:t>
      </w:r>
      <w:r>
        <w:rPr>
          <w:spacing w:val="-5"/>
        </w:rPr>
        <w:t xml:space="preserve"> </w:t>
      </w:r>
      <w:r>
        <w:rPr>
          <w:i/>
        </w:rPr>
        <w:t>R</w:t>
      </w:r>
      <w:r>
        <w:rPr>
          <w:vertAlign w:val="subscript"/>
        </w:rPr>
        <w:t>18</w:t>
      </w:r>
      <w:r>
        <w:t xml:space="preserve"> inside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mass</w:t>
      </w:r>
      <w:r>
        <w:rPr>
          <w:spacing w:val="-4"/>
        </w:rPr>
        <w:t xml:space="preserve"> </w:t>
      </w:r>
      <w:r>
        <w:t>spectrometer (in</w:t>
      </w:r>
      <w:r>
        <w:rPr>
          <w:spacing w:val="-2"/>
        </w:rPr>
        <w:t xml:space="preserve"> </w:t>
      </w:r>
      <w:r>
        <w:t>their instrument</w:t>
      </w:r>
      <w:r>
        <w:rPr>
          <w:spacing w:val="-2"/>
        </w:rPr>
        <w:t xml:space="preserve"> </w:t>
      </w:r>
      <w:r>
        <w:t>and others) and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observations:</w:t>
      </w:r>
      <w:r>
        <w:rPr>
          <w:spacing w:val="-1"/>
        </w:rPr>
        <w:t xml:space="preserve"> </w:t>
      </w:r>
      <w:r>
        <w:t>(1) intra-lab</w:t>
      </w:r>
      <w:r>
        <w:rPr>
          <w:spacing w:val="-1"/>
        </w:rPr>
        <w:t xml:space="preserve"> </w:t>
      </w:r>
      <w:r>
        <w:t>variation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i/>
        </w:rPr>
        <w:t>R</w:t>
      </w:r>
      <w:r>
        <w:rPr>
          <w:vertAlign w:val="subscript"/>
        </w:rPr>
        <w:t>18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values</w:t>
      </w:r>
      <w:r>
        <w:rPr>
          <w:spacing w:val="-3"/>
        </w:rPr>
        <w:t xml:space="preserve"> </w:t>
      </w:r>
      <w:r>
        <w:t>ranging</w:t>
      </w:r>
      <w:r>
        <w:rPr>
          <w:spacing w:val="-6"/>
        </w:rPr>
        <w:t xml:space="preserve"> </w:t>
      </w:r>
      <w:r>
        <w:t xml:space="preserve">from 0.00210 to 0.00216 and (2) within run variation in </w:t>
      </w:r>
      <w:r>
        <w:rPr>
          <w:i/>
        </w:rPr>
        <w:t>R</w:t>
      </w:r>
      <w:r>
        <w:rPr>
          <w:vertAlign w:val="subscript"/>
        </w:rPr>
        <w:t>18</w:t>
      </w:r>
      <w:r>
        <w:t xml:space="preserve"> with values changing from</w:t>
      </w:r>
      <w:r>
        <w:rPr>
          <w:spacing w:val="40"/>
        </w:rPr>
        <w:t xml:space="preserve"> </w:t>
      </w:r>
      <w:r>
        <w:t>0.00208 (early in run) to 0.00213 (late in run).</w:t>
      </w:r>
      <w:r>
        <w:rPr>
          <w:spacing w:val="40"/>
        </w:rPr>
        <w:t xml:space="preserve"> </w:t>
      </w:r>
      <w:proofErr w:type="spellStart"/>
      <w:r>
        <w:t>Luguet</w:t>
      </w:r>
      <w:proofErr w:type="spellEnd"/>
      <w:r>
        <w:t xml:space="preserve"> et al [</w:t>
      </w:r>
      <w:proofErr w:type="spellStart"/>
      <w:r>
        <w:rPr>
          <w:i/>
        </w:rPr>
        <w:t>Luguet</w:t>
      </w:r>
      <w:proofErr w:type="spellEnd"/>
      <w:r>
        <w:rPr>
          <w:i/>
        </w:rPr>
        <w:t xml:space="preserve"> et al.</w:t>
      </w:r>
      <w:r>
        <w:t xml:space="preserve">, 2008] documented significant </w:t>
      </w:r>
      <w:proofErr w:type="gramStart"/>
      <w:r>
        <w:t>run to run</w:t>
      </w:r>
      <w:proofErr w:type="gramEnd"/>
      <w:r>
        <w:t xml:space="preserve"> variation with </w:t>
      </w:r>
      <w:r>
        <w:rPr>
          <w:i/>
        </w:rPr>
        <w:t>R</w:t>
      </w:r>
      <w:r>
        <w:rPr>
          <w:vertAlign w:val="subscript"/>
        </w:rPr>
        <w:t>18</w:t>
      </w:r>
      <w:r>
        <w:t xml:space="preserve"> ranging form 0.00202 to 0.00205, and less significant intra-run variation.</w:t>
      </w:r>
    </w:p>
    <w:p w14:paraId="01F5B50D" w14:textId="77777777" w:rsidR="00067CDA" w:rsidRDefault="00067CDA" w:rsidP="00067CDA">
      <w:pPr>
        <w:spacing w:before="118" w:after="120"/>
        <w:ind w:left="104"/>
        <w:jc w:val="both"/>
      </w:pPr>
      <w:proofErr w:type="spellStart"/>
      <w:r>
        <w:t>Nier</w:t>
      </w:r>
      <w:proofErr w:type="spellEnd"/>
      <w:r>
        <w:rPr>
          <w:spacing w:val="-2"/>
        </w:rPr>
        <w:t xml:space="preserve"> </w:t>
      </w:r>
      <w:r>
        <w:t>(1950)</w:t>
      </w:r>
      <w:r>
        <w:rPr>
          <w:spacing w:val="-6"/>
        </w:rPr>
        <w:t xml:space="preserve"> </w:t>
      </w:r>
      <w:r>
        <w:t>gave</w:t>
      </w:r>
      <w:r>
        <w:rPr>
          <w:spacing w:val="-5"/>
        </w:rPr>
        <w:t xml:space="preserve"> </w:t>
      </w:r>
      <w:r>
        <w:t>percentage</w:t>
      </w:r>
      <w:r>
        <w:rPr>
          <w:spacing w:val="-4"/>
        </w:rPr>
        <w:t xml:space="preserve"> </w:t>
      </w:r>
      <w:r>
        <w:t>abundances</w:t>
      </w:r>
      <w:r>
        <w:rPr>
          <w:spacing w:val="-5"/>
        </w:rPr>
        <w:t xml:space="preserve"> </w:t>
      </w:r>
      <w:r>
        <w:t>corresponding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vertAlign w:val="superscript"/>
        </w:rPr>
        <w:t>18</w:t>
      </w:r>
      <w:r>
        <w:t>O/</w:t>
      </w:r>
      <w:r>
        <w:rPr>
          <w:vertAlign w:val="superscript"/>
        </w:rPr>
        <w:t>16</w:t>
      </w:r>
      <w:r>
        <w:t>O</w:t>
      </w:r>
      <w:r>
        <w:rPr>
          <w:spacing w:val="-8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0.0020439</w:t>
      </w:r>
      <w:r>
        <w:rPr>
          <w:spacing w:val="-8"/>
        </w:rPr>
        <w:t xml:space="preserve"> </w:t>
      </w:r>
      <w:r>
        <w:rPr>
          <w:spacing w:val="-5"/>
        </w:rPr>
        <w:t>and</w:t>
      </w:r>
      <w:r>
        <w:t xml:space="preserve"> </w:t>
      </w:r>
      <w:r>
        <w:rPr>
          <w:vertAlign w:val="superscript"/>
        </w:rPr>
        <w:t>17</w:t>
      </w:r>
      <w:r>
        <w:t>O/</w:t>
      </w:r>
      <w:r>
        <w:rPr>
          <w:vertAlign w:val="superscript"/>
        </w:rPr>
        <w:t>16</w:t>
      </w:r>
      <w:r>
        <w:t>O</w:t>
      </w:r>
      <w:r>
        <w:rPr>
          <w:spacing w:val="-5"/>
        </w:rPr>
        <w:t xml:space="preserve"> </w:t>
      </w:r>
      <w:r>
        <w:t>0.0003749.</w:t>
      </w:r>
      <w:r>
        <w:rPr>
          <w:spacing w:val="45"/>
        </w:rPr>
        <w:t xml:space="preserve"> </w:t>
      </w:r>
      <w:r>
        <w:t>IUPAC</w:t>
      </w:r>
      <w:r>
        <w:rPr>
          <w:spacing w:val="-6"/>
        </w:rPr>
        <w:t xml:space="preserve"> </w:t>
      </w:r>
      <w:r>
        <w:t>2000</w:t>
      </w:r>
      <w:r>
        <w:rPr>
          <w:spacing w:val="-8"/>
        </w:rPr>
        <w:t xml:space="preserve"> </w:t>
      </w:r>
      <w:r>
        <w:t>(De</w:t>
      </w:r>
      <w:r>
        <w:rPr>
          <w:spacing w:val="-5"/>
        </w:rPr>
        <w:t xml:space="preserve"> </w:t>
      </w:r>
      <w:proofErr w:type="spellStart"/>
      <w:r>
        <w:t>Laeter</w:t>
      </w:r>
      <w:proofErr w:type="spellEnd"/>
      <w:r>
        <w:rPr>
          <w:spacing w:val="-7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al.,</w:t>
      </w:r>
      <w:r>
        <w:rPr>
          <w:spacing w:val="-6"/>
        </w:rPr>
        <w:t xml:space="preserve"> </w:t>
      </w:r>
      <w:r>
        <w:t>2003)</w:t>
      </w:r>
      <w:r>
        <w:rPr>
          <w:spacing w:val="-2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rPr>
          <w:vertAlign w:val="superscript"/>
        </w:rPr>
        <w:t>18</w:t>
      </w:r>
      <w:r>
        <w:t>O</w:t>
      </w:r>
      <w:r>
        <w:rPr>
          <w:spacing w:val="-8"/>
        </w:rPr>
        <w:t xml:space="preserve"> </w:t>
      </w:r>
      <w:r>
        <w:t>molar</w:t>
      </w:r>
      <w:r>
        <w:rPr>
          <w:spacing w:val="-7"/>
        </w:rPr>
        <w:t xml:space="preserve"> </w:t>
      </w:r>
      <w:r>
        <w:t>fraction</w:t>
      </w:r>
      <w:r>
        <w:rPr>
          <w:spacing w:val="-9"/>
        </w:rPr>
        <w:t xml:space="preserve"> </w:t>
      </w:r>
      <w:r>
        <w:rPr>
          <w:spacing w:val="-5"/>
        </w:rPr>
        <w:t>of</w: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E0752B9" wp14:editId="69FD4A16">
                <wp:simplePos x="0" y="0"/>
                <wp:positionH relativeFrom="page">
                  <wp:posOffset>3980815</wp:posOffset>
                </wp:positionH>
                <wp:positionV relativeFrom="paragraph">
                  <wp:posOffset>193040</wp:posOffset>
                </wp:positionV>
                <wp:extent cx="86995" cy="88900"/>
                <wp:effectExtent l="0" t="0" r="1905" b="0"/>
                <wp:wrapNone/>
                <wp:docPr id="3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699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CA099" w14:textId="77777777" w:rsidR="00356CCE" w:rsidRDefault="00356CCE" w:rsidP="00067CDA">
                            <w:pPr>
                              <w:spacing w:line="135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8"/>
                                <w:sz w:val="14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docshape5" o:spid="_x0000_s1026" type="#_x0000_t202" style="position:absolute;left:0;text-align:left;margin-left:313.45pt;margin-top:15.2pt;width:6.85pt;height:7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" filled="f" stroked="f">
                <v:path arrowok="t"/>
                <v:textbox inset="0,0,0,0">
                  <w:txbxContent>
                    <w:p w14:paraId="591CA099" w14:textId="77777777" w:rsidR="00356CCE" w:rsidRDefault="00356CCE" w:rsidP="00067CDA">
                      <w:pPr>
                        <w:spacing w:line="135" w:lineRule="exact"/>
                        <w:rPr>
                          <w:sz w:val="14"/>
                        </w:rPr>
                      </w:pPr>
                      <w:r>
                        <w:rPr>
                          <w:spacing w:val="-8"/>
                          <w:sz w:val="14"/>
                        </w:rPr>
                        <w:t>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 0.002 05 (molar fraction </w:t>
      </w:r>
      <w:r>
        <w:rPr>
          <w:vertAlign w:val="superscript"/>
        </w:rPr>
        <w:t>16</w:t>
      </w:r>
      <w:r>
        <w:t>O = 0.99757) and R</w:t>
      </w:r>
      <w:r>
        <w:rPr>
          <w:spacing w:val="80"/>
          <w:w w:val="150"/>
        </w:rPr>
        <w:t xml:space="preserve"> </w:t>
      </w:r>
      <w:r>
        <w:t>= 0.002055.</w:t>
      </w:r>
      <w:r>
        <w:rPr>
          <w:spacing w:val="40"/>
        </w:rPr>
        <w:t xml:space="preserve"> </w:t>
      </w:r>
      <w:r>
        <w:t>However, the studies outlined</w:t>
      </w:r>
      <w:r>
        <w:rPr>
          <w:spacing w:val="-15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(and</w:t>
      </w:r>
      <w:r>
        <w:rPr>
          <w:spacing w:val="-5"/>
        </w:rPr>
        <w:t xml:space="preserve"> </w:t>
      </w:r>
      <w:r>
        <w:t>others)</w:t>
      </w:r>
      <w:r>
        <w:rPr>
          <w:spacing w:val="-3"/>
        </w:rPr>
        <w:t xml:space="preserve"> </w:t>
      </w:r>
      <w:r>
        <w:t>indicate</w:t>
      </w:r>
      <w:r>
        <w:rPr>
          <w:spacing w:val="-10"/>
        </w:rPr>
        <w:t xml:space="preserve"> </w:t>
      </w:r>
      <w:r>
        <w:t>inter-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intra-laboratory</w:t>
      </w:r>
      <w:r>
        <w:rPr>
          <w:spacing w:val="-5"/>
        </w:rPr>
        <w:t xml:space="preserve"> </w:t>
      </w:r>
      <w:r>
        <w:t>variation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R</w:t>
      </w:r>
      <w:r>
        <w:rPr>
          <w:vertAlign w:val="subscript"/>
        </w:rPr>
        <w:t>18</w:t>
      </w:r>
      <w:r>
        <w:rPr>
          <w:spacing w:val="-24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t>R</w:t>
      </w:r>
      <w:r>
        <w:rPr>
          <w:vertAlign w:val="subscript"/>
        </w:rPr>
        <w:t>17</w:t>
      </w:r>
      <w:r>
        <w:rPr>
          <w:spacing w:val="-24"/>
        </w:rPr>
        <w:t xml:space="preserve"> </w:t>
      </w:r>
      <w:r>
        <w:t>is potentially significant.</w:t>
      </w:r>
      <w:r>
        <w:rPr>
          <w:spacing w:val="40"/>
        </w:rPr>
        <w:t xml:space="preserve"> </w:t>
      </w:r>
      <w:r>
        <w:t xml:space="preserve">Presented here is an adaptation of the </w:t>
      </w:r>
      <w:proofErr w:type="spellStart"/>
      <w:r>
        <w:t>Wasserburg</w:t>
      </w:r>
      <w:proofErr w:type="spellEnd"/>
      <w:r>
        <w:t xml:space="preserve"> et al. (1981)</w:t>
      </w:r>
      <w:r w:rsidRPr="00841CDD">
        <w:t xml:space="preserve"> </w:t>
      </w:r>
      <w:proofErr w:type="spellStart"/>
      <w:r>
        <w:t>NdO</w:t>
      </w:r>
      <w:proofErr w:type="spellEnd"/>
      <w:r>
        <w:rPr>
          <w:vertAlign w:val="superscript"/>
        </w:rPr>
        <w:t>+</w:t>
      </w:r>
      <w:r>
        <w:rPr>
          <w:spacing w:val="-5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for the</w:t>
      </w:r>
      <w:r>
        <w:rPr>
          <w:spacing w:val="-8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determination of</w:t>
      </w:r>
      <w:r w:rsidRPr="00841CDD">
        <w:t xml:space="preserve"> </w:t>
      </w:r>
      <w:r>
        <w:t>R</w:t>
      </w:r>
      <w:r w:rsidRPr="00356CCE">
        <w:rPr>
          <w:vertAlign w:val="subscript"/>
        </w:rPr>
        <w:t>18</w:t>
      </w:r>
      <w:r>
        <w:t xml:space="preserve"> and R</w:t>
      </w:r>
      <w:r w:rsidRPr="00356CCE">
        <w:rPr>
          <w:vertAlign w:val="subscript"/>
        </w:rPr>
        <w:t>17</w:t>
      </w:r>
      <w:r>
        <w:t xml:space="preserve"> modified for UO</w:t>
      </w:r>
      <w:r w:rsidRPr="00356CCE">
        <w:rPr>
          <w:vertAlign w:val="subscript"/>
        </w:rPr>
        <w:t>2</w:t>
      </w:r>
      <w:r>
        <w:t>+.</w:t>
      </w:r>
    </w:p>
    <w:p w14:paraId="4A2F5BE2" w14:textId="77777777" w:rsidR="00067CDA" w:rsidRPr="00356CCE" w:rsidRDefault="00356CCE" w:rsidP="00067CDA">
      <w:pPr>
        <w:spacing w:before="81" w:after="120"/>
        <w:ind w:left="104"/>
        <w:rPr>
          <w:b/>
        </w:rPr>
      </w:pPr>
      <w:r w:rsidRPr="00356CCE">
        <w:rPr>
          <w:b/>
        </w:rPr>
        <w:t>For R</w:t>
      </w:r>
      <w:r w:rsidRPr="00356CCE">
        <w:rPr>
          <w:b/>
          <w:vertAlign w:val="subscript"/>
        </w:rPr>
        <w:t>18</w:t>
      </w:r>
      <w:r w:rsidRPr="00356CCE">
        <w:rPr>
          <w:b/>
        </w:rPr>
        <w:t xml:space="preserve"> (= </w:t>
      </w:r>
      <w:r w:rsidRPr="00356CCE">
        <w:rPr>
          <w:b/>
          <w:vertAlign w:val="superscript"/>
        </w:rPr>
        <w:t>18</w:t>
      </w:r>
      <w:r w:rsidRPr="00356CCE">
        <w:rPr>
          <w:b/>
        </w:rPr>
        <w:t>O/</w:t>
      </w:r>
      <w:r w:rsidRPr="00356CCE">
        <w:rPr>
          <w:b/>
          <w:vertAlign w:val="superscript"/>
        </w:rPr>
        <w:t>16</w:t>
      </w:r>
      <w:r w:rsidRPr="00356CCE">
        <w:rPr>
          <w:b/>
        </w:rPr>
        <w:t>O):</w:t>
      </w:r>
    </w:p>
    <w:p w14:paraId="15E4D4BC" w14:textId="77777777" w:rsidR="00356CCE" w:rsidRDefault="00356CCE" w:rsidP="00356CCE">
      <w:pPr>
        <w:tabs>
          <w:tab w:val="right" w:pos="8280"/>
        </w:tabs>
      </w:pPr>
      <w:r w:rsidRPr="00356CCE">
        <w:rPr>
          <w:position w:val="-30"/>
        </w:rPr>
        <w:object w:dxaOrig="3580" w:dyaOrig="700" w14:anchorId="351027C0">
          <v:shape id="_x0000_i1080" type="#_x0000_t75" style="width:179.2pt;height:34.65pt" o:ole="">
            <v:imagedata r:id="rId37" o:title=""/>
          </v:shape>
          <o:OLEObject Type="Embed" ProgID="Equation.3" ShapeID="_x0000_i1080" DrawAspect="Content" ObjectID="_1618845609" r:id="rId38"/>
        </w:object>
      </w:r>
      <w:r>
        <w:tab/>
        <w:t>(1)</w:t>
      </w:r>
    </w:p>
    <w:p w14:paraId="06C1DC6F" w14:textId="77777777" w:rsidR="00356CCE" w:rsidRDefault="00356CCE" w:rsidP="00067CDA">
      <w:pPr>
        <w:spacing w:before="81" w:after="120"/>
        <w:ind w:left="104"/>
      </w:pPr>
    </w:p>
    <w:p w14:paraId="56324146" w14:textId="77777777" w:rsidR="00356CCE" w:rsidRDefault="00356CCE" w:rsidP="00356CCE">
      <w:pPr>
        <w:tabs>
          <w:tab w:val="right" w:pos="8280"/>
        </w:tabs>
      </w:pPr>
      <w:r w:rsidRPr="00356CCE">
        <w:rPr>
          <w:position w:val="-30"/>
        </w:rPr>
        <w:object w:dxaOrig="4740" w:dyaOrig="1060" w14:anchorId="47D1D0F5">
          <v:shape id="_x0000_i1090" type="#_x0000_t75" style="width:236.8pt;height:52.25pt" o:ole="">
            <v:imagedata r:id="rId39" o:title=""/>
          </v:shape>
          <o:OLEObject Type="Embed" ProgID="Equation.3" ShapeID="_x0000_i1090" DrawAspect="Content" ObjectID="_1618845610" r:id="rId40"/>
        </w:object>
      </w:r>
      <w:r>
        <w:tab/>
        <w:t>(2)</w:t>
      </w:r>
    </w:p>
    <w:p w14:paraId="60FF080C" w14:textId="77777777" w:rsidR="00356CCE" w:rsidRDefault="00356CCE" w:rsidP="00067CDA">
      <w:pPr>
        <w:spacing w:before="81" w:after="120"/>
        <w:ind w:left="104"/>
      </w:pPr>
    </w:p>
    <w:p w14:paraId="32E4AA99" w14:textId="77777777" w:rsidR="00356CCE" w:rsidRDefault="00356CCE" w:rsidP="00356CCE">
      <w:pPr>
        <w:tabs>
          <w:tab w:val="right" w:pos="8280"/>
        </w:tabs>
      </w:pPr>
      <w:r w:rsidRPr="00356CCE">
        <w:rPr>
          <w:position w:val="-30"/>
        </w:rPr>
        <w:object w:dxaOrig="3460" w:dyaOrig="1060" w14:anchorId="574A2989">
          <v:shape id="_x0000_i1095" type="#_x0000_t75" style="width:172.8pt;height:52.25pt" o:ole="">
            <v:imagedata r:id="rId41" o:title=""/>
          </v:shape>
          <o:OLEObject Type="Embed" ProgID="Equation.3" ShapeID="_x0000_i1095" DrawAspect="Content" ObjectID="_1618845611" r:id="rId42"/>
        </w:object>
      </w:r>
      <w:r>
        <w:tab/>
        <w:t>(3)</w:t>
      </w:r>
    </w:p>
    <w:p w14:paraId="09717B30" w14:textId="77777777" w:rsidR="00356CCE" w:rsidRDefault="00356CCE" w:rsidP="00067CDA">
      <w:pPr>
        <w:spacing w:before="81" w:after="120"/>
        <w:ind w:left="104"/>
      </w:pPr>
    </w:p>
    <w:p w14:paraId="618F9E7A" w14:textId="77777777" w:rsidR="00356CCE" w:rsidRDefault="00356CCE" w:rsidP="00356CCE">
      <w:pPr>
        <w:tabs>
          <w:tab w:val="right" w:pos="8280"/>
        </w:tabs>
      </w:pPr>
      <w:r w:rsidRPr="00356CCE">
        <w:rPr>
          <w:position w:val="-32"/>
        </w:rPr>
        <w:object w:dxaOrig="3420" w:dyaOrig="740" w14:anchorId="53284123">
          <v:shape id="_x0000_i1099" type="#_x0000_t75" style="width:171.2pt;height:36.25pt" o:ole="">
            <v:imagedata r:id="rId43" o:title=""/>
          </v:shape>
          <o:OLEObject Type="Embed" ProgID="Equation.3" ShapeID="_x0000_i1099" DrawAspect="Content" ObjectID="_1618845612" r:id="rId44"/>
        </w:object>
      </w:r>
      <w:r>
        <w:tab/>
        <w:t>(4)</w:t>
      </w:r>
    </w:p>
    <w:p w14:paraId="5DBF9771" w14:textId="77777777" w:rsidR="00356CCE" w:rsidRDefault="00356CCE" w:rsidP="00067CDA">
      <w:pPr>
        <w:spacing w:before="81" w:after="120"/>
        <w:ind w:left="104"/>
      </w:pPr>
    </w:p>
    <w:p w14:paraId="1A21C430" w14:textId="77777777" w:rsidR="00067CDA" w:rsidRDefault="00067CDA" w:rsidP="00067CDA">
      <w:pPr>
        <w:spacing w:before="81" w:after="120"/>
        <w:ind w:left="104"/>
      </w:pPr>
      <w:r>
        <w:t>The</w:t>
      </w:r>
      <w:r>
        <w:rPr>
          <w:spacing w:val="-15"/>
        </w:rPr>
        <w:t xml:space="preserve"> </w:t>
      </w:r>
      <w:r>
        <w:t>other</w:t>
      </w:r>
      <w:r>
        <w:rPr>
          <w:spacing w:val="-15"/>
        </w:rPr>
        <w:t xml:space="preserve"> </w:t>
      </w:r>
      <w:r>
        <w:t>potential</w:t>
      </w:r>
      <w:r>
        <w:rPr>
          <w:spacing w:val="-15"/>
        </w:rPr>
        <w:t xml:space="preserve"> </w:t>
      </w:r>
      <w:r>
        <w:t>interferences</w:t>
      </w:r>
      <w:r>
        <w:rPr>
          <w:spacing w:val="-15"/>
        </w:rPr>
        <w:t xml:space="preserve"> </w:t>
      </w:r>
      <w:r>
        <w:t>(</w:t>
      </w:r>
      <w:r>
        <w:rPr>
          <w:vertAlign w:val="superscript"/>
        </w:rPr>
        <w:t>236</w:t>
      </w:r>
      <w:r>
        <w:t>U</w:t>
      </w:r>
      <w:r>
        <w:rPr>
          <w:vertAlign w:val="superscript"/>
        </w:rPr>
        <w:t>18</w:t>
      </w:r>
      <w:r>
        <w:t>O</w:t>
      </w:r>
      <w:r>
        <w:rPr>
          <w:vertAlign w:val="superscript"/>
        </w:rPr>
        <w:t>18</w:t>
      </w:r>
      <w:r>
        <w:t>O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vertAlign w:val="superscript"/>
        </w:rPr>
        <w:t>236</w:t>
      </w:r>
      <w:r>
        <w:t>U</w:t>
      </w:r>
      <w:r>
        <w:rPr>
          <w:vertAlign w:val="superscript"/>
        </w:rPr>
        <w:t>17</w:t>
      </w:r>
      <w:r>
        <w:t>O</w:t>
      </w:r>
      <w:r>
        <w:rPr>
          <w:vertAlign w:val="superscript"/>
        </w:rPr>
        <w:t>17</w:t>
      </w:r>
      <w:r>
        <w:t>O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272</w:t>
      </w:r>
      <w:r>
        <w:rPr>
          <w:spacing w:val="-13"/>
        </w:rPr>
        <w:t xml:space="preserve"> </w:t>
      </w:r>
      <w:r>
        <w:t>peak</w:t>
      </w:r>
      <w:r>
        <w:rPr>
          <w:spacing w:val="-13"/>
        </w:rPr>
        <w:t xml:space="preserve"> </w:t>
      </w:r>
      <w:r>
        <w:t xml:space="preserve">and </w:t>
      </w:r>
      <w:r>
        <w:rPr>
          <w:vertAlign w:val="superscript"/>
        </w:rPr>
        <w:t>236</w:t>
      </w:r>
      <w:r>
        <w:t>U</w:t>
      </w:r>
      <w:r>
        <w:rPr>
          <w:vertAlign w:val="superscript"/>
        </w:rPr>
        <w:t>17</w:t>
      </w:r>
      <w:r>
        <w:t>O</w:t>
      </w:r>
      <w:r>
        <w:rPr>
          <w:vertAlign w:val="superscript"/>
        </w:rPr>
        <w:t>17</w:t>
      </w:r>
      <w:r>
        <w:t>O,</w:t>
      </w:r>
      <w:r>
        <w:rPr>
          <w:spacing w:val="-15"/>
        </w:rPr>
        <w:t xml:space="preserve"> </w:t>
      </w:r>
      <w:r>
        <w:rPr>
          <w:vertAlign w:val="superscript"/>
        </w:rPr>
        <w:t>236</w:t>
      </w:r>
      <w:r>
        <w:t>U</w:t>
      </w:r>
      <w:r>
        <w:rPr>
          <w:vertAlign w:val="superscript"/>
        </w:rPr>
        <w:t>16</w:t>
      </w:r>
      <w:r>
        <w:t>O</w:t>
      </w:r>
      <w:r>
        <w:rPr>
          <w:vertAlign w:val="superscript"/>
        </w:rPr>
        <w:t>18</w:t>
      </w:r>
      <w:r>
        <w:t>O,</w:t>
      </w:r>
      <w:r>
        <w:rPr>
          <w:spacing w:val="-15"/>
        </w:rPr>
        <w:t xml:space="preserve"> </w:t>
      </w:r>
      <w:r>
        <w:rPr>
          <w:vertAlign w:val="superscript"/>
        </w:rPr>
        <w:t>236</w:t>
      </w:r>
      <w:r>
        <w:t>U</w:t>
      </w:r>
      <w:r>
        <w:rPr>
          <w:vertAlign w:val="superscript"/>
        </w:rPr>
        <w:t>18</w:t>
      </w:r>
      <w:r>
        <w:t>O</w:t>
      </w:r>
      <w:r>
        <w:rPr>
          <w:vertAlign w:val="superscript"/>
        </w:rPr>
        <w:t>16</w:t>
      </w:r>
      <w:r>
        <w:t>O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vertAlign w:val="superscript"/>
        </w:rPr>
        <w:t>234</w:t>
      </w:r>
      <w:r>
        <w:t>U</w:t>
      </w:r>
      <w:r>
        <w:rPr>
          <w:vertAlign w:val="superscript"/>
        </w:rPr>
        <w:t>18</w:t>
      </w:r>
      <w:r>
        <w:t>O</w:t>
      </w:r>
      <w:r>
        <w:rPr>
          <w:vertAlign w:val="superscript"/>
        </w:rPr>
        <w:t>18</w:t>
      </w:r>
      <w:r>
        <w:t>O</w:t>
      </w:r>
      <w:r>
        <w:rPr>
          <w:spacing w:val="-15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270</w:t>
      </w:r>
      <w:r>
        <w:rPr>
          <w:spacing w:val="-15"/>
        </w:rPr>
        <w:t xml:space="preserve"> </w:t>
      </w:r>
      <w:r>
        <w:t>peak)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 xml:space="preserve">considered minor/zero for </w:t>
      </w:r>
      <w:proofErr w:type="spellStart"/>
      <w:r>
        <w:t>unspiked</w:t>
      </w:r>
      <w:proofErr w:type="spellEnd"/>
      <w:r>
        <w:t xml:space="preserve"> natural </w:t>
      </w:r>
      <w:r w:rsidR="00356CCE">
        <w:t>u</w:t>
      </w:r>
      <w:r>
        <w:t>ranium and are ignored for this purpose.</w:t>
      </w:r>
    </w:p>
    <w:p w14:paraId="1C701BC3" w14:textId="77777777" w:rsidR="00C768A5" w:rsidRDefault="00C768A5" w:rsidP="00067CDA">
      <w:pPr>
        <w:spacing w:before="81" w:after="120"/>
        <w:ind w:left="104"/>
      </w:pPr>
    </w:p>
    <w:p w14:paraId="13E5D5C5" w14:textId="77777777" w:rsidR="00356CCE" w:rsidRPr="00356CCE" w:rsidRDefault="00356CCE" w:rsidP="00356CCE">
      <w:pPr>
        <w:spacing w:before="81" w:after="120"/>
        <w:ind w:left="104"/>
        <w:rPr>
          <w:b/>
        </w:rPr>
      </w:pPr>
      <w:r w:rsidRPr="00356CCE">
        <w:rPr>
          <w:b/>
        </w:rPr>
        <w:t>For R</w:t>
      </w:r>
      <w:r w:rsidRPr="00356CCE">
        <w:rPr>
          <w:b/>
          <w:vertAlign w:val="subscript"/>
        </w:rPr>
        <w:t>1</w:t>
      </w:r>
      <w:r>
        <w:rPr>
          <w:b/>
          <w:vertAlign w:val="subscript"/>
        </w:rPr>
        <w:t>7</w:t>
      </w:r>
      <w:r w:rsidRPr="00356CCE">
        <w:rPr>
          <w:b/>
        </w:rPr>
        <w:t xml:space="preserve"> (= </w:t>
      </w:r>
      <w:r w:rsidRPr="00356CCE">
        <w:rPr>
          <w:b/>
          <w:vertAlign w:val="superscript"/>
        </w:rPr>
        <w:t>1</w:t>
      </w:r>
      <w:r>
        <w:rPr>
          <w:b/>
          <w:vertAlign w:val="superscript"/>
        </w:rPr>
        <w:t>7</w:t>
      </w:r>
      <w:r w:rsidRPr="00356CCE">
        <w:rPr>
          <w:b/>
        </w:rPr>
        <w:t>O/</w:t>
      </w:r>
      <w:r w:rsidRPr="00356CCE">
        <w:rPr>
          <w:b/>
          <w:vertAlign w:val="superscript"/>
        </w:rPr>
        <w:t>16</w:t>
      </w:r>
      <w:r w:rsidRPr="00356CCE">
        <w:rPr>
          <w:b/>
        </w:rPr>
        <w:t>O):</w:t>
      </w:r>
    </w:p>
    <w:p w14:paraId="73469671" w14:textId="77777777" w:rsidR="00356CCE" w:rsidRDefault="00356CCE" w:rsidP="00356CCE">
      <w:pPr>
        <w:tabs>
          <w:tab w:val="right" w:pos="8280"/>
        </w:tabs>
      </w:pPr>
      <w:r w:rsidRPr="00356CCE">
        <w:rPr>
          <w:position w:val="-30"/>
        </w:rPr>
        <w:object w:dxaOrig="3580" w:dyaOrig="700" w14:anchorId="4A57C9C9">
          <v:shape id="_x0000_i1106" type="#_x0000_t75" style="width:179.2pt;height:34.65pt" o:ole="">
            <v:imagedata r:id="rId45" o:title=""/>
          </v:shape>
          <o:OLEObject Type="Embed" ProgID="Equation.3" ShapeID="_x0000_i1106" DrawAspect="Content" ObjectID="_1618845613" r:id="rId46"/>
        </w:object>
      </w:r>
      <w:r>
        <w:tab/>
        <w:t>(5)</w:t>
      </w:r>
    </w:p>
    <w:p w14:paraId="76066FDF" w14:textId="77777777" w:rsidR="00356CCE" w:rsidRDefault="00356CCE" w:rsidP="00356CCE">
      <w:pPr>
        <w:spacing w:before="81" w:after="120"/>
        <w:ind w:left="104"/>
      </w:pPr>
    </w:p>
    <w:p w14:paraId="6FFEC3E8" w14:textId="77777777" w:rsidR="00356CCE" w:rsidRDefault="00356CCE" w:rsidP="00356CCE">
      <w:pPr>
        <w:tabs>
          <w:tab w:val="right" w:pos="8280"/>
        </w:tabs>
      </w:pPr>
      <w:r w:rsidRPr="00356CCE">
        <w:rPr>
          <w:position w:val="-30"/>
        </w:rPr>
        <w:object w:dxaOrig="4740" w:dyaOrig="1060" w14:anchorId="24E4F757">
          <v:shape id="_x0000_i1109" type="#_x0000_t75" style="width:236.8pt;height:52.25pt" o:ole="">
            <v:imagedata r:id="rId47" o:title=""/>
          </v:shape>
          <o:OLEObject Type="Embed" ProgID="Equation.3" ShapeID="_x0000_i1109" DrawAspect="Content" ObjectID="_1618845614" r:id="rId48"/>
        </w:object>
      </w:r>
      <w:r>
        <w:tab/>
        <w:t>(6)</w:t>
      </w:r>
    </w:p>
    <w:p w14:paraId="1BAE8BE7" w14:textId="77777777" w:rsidR="00356CCE" w:rsidRDefault="00356CCE" w:rsidP="00356CCE">
      <w:pPr>
        <w:spacing w:before="81" w:after="120"/>
        <w:ind w:left="104"/>
      </w:pPr>
    </w:p>
    <w:p w14:paraId="1239D0B2" w14:textId="77777777" w:rsidR="00356CCE" w:rsidRDefault="00356CCE" w:rsidP="00356CCE">
      <w:pPr>
        <w:tabs>
          <w:tab w:val="right" w:pos="8280"/>
        </w:tabs>
      </w:pPr>
      <w:r w:rsidRPr="00356CCE">
        <w:rPr>
          <w:position w:val="-30"/>
        </w:rPr>
        <w:object w:dxaOrig="3460" w:dyaOrig="1060" w14:anchorId="7EF19DD7">
          <v:shape id="_x0000_i1112" type="#_x0000_t75" style="width:172.8pt;height:52.25pt" o:ole="">
            <v:imagedata r:id="rId49" o:title=""/>
          </v:shape>
          <o:OLEObject Type="Embed" ProgID="Equation.3" ShapeID="_x0000_i1112" DrawAspect="Content" ObjectID="_1618845615" r:id="rId50"/>
        </w:object>
      </w:r>
      <w:r>
        <w:tab/>
        <w:t>(7)</w:t>
      </w:r>
    </w:p>
    <w:p w14:paraId="4F0803D8" w14:textId="77777777" w:rsidR="00356CCE" w:rsidRDefault="00356CCE" w:rsidP="00356CCE">
      <w:pPr>
        <w:spacing w:before="81" w:after="120"/>
        <w:ind w:left="104"/>
      </w:pPr>
    </w:p>
    <w:p w14:paraId="018864BE" w14:textId="77777777" w:rsidR="00356CCE" w:rsidRDefault="00356CCE" w:rsidP="00356CCE">
      <w:pPr>
        <w:tabs>
          <w:tab w:val="right" w:pos="8280"/>
        </w:tabs>
      </w:pPr>
      <w:r w:rsidRPr="00356CCE">
        <w:rPr>
          <w:position w:val="-32"/>
        </w:rPr>
        <w:object w:dxaOrig="3420" w:dyaOrig="740" w14:anchorId="16414E20">
          <v:shape id="_x0000_i1115" type="#_x0000_t75" style="width:171.2pt;height:36.25pt" o:ole="">
            <v:imagedata r:id="rId51" o:title=""/>
          </v:shape>
          <o:OLEObject Type="Embed" ProgID="Equation.3" ShapeID="_x0000_i1115" DrawAspect="Content" ObjectID="_1618845616" r:id="rId52"/>
        </w:object>
      </w:r>
      <w:r>
        <w:tab/>
        <w:t>(8)</w:t>
      </w:r>
    </w:p>
    <w:p w14:paraId="688D7662" w14:textId="77777777" w:rsidR="00356CCE" w:rsidRDefault="00356CCE" w:rsidP="00067CDA">
      <w:pPr>
        <w:spacing w:before="81" w:after="120"/>
        <w:ind w:left="104"/>
      </w:pPr>
    </w:p>
    <w:p w14:paraId="160371A3" w14:textId="77777777" w:rsidR="00067CDA" w:rsidRDefault="00067CDA" w:rsidP="00067CDA">
      <w:pPr>
        <w:spacing w:before="81" w:after="120"/>
        <w:ind w:left="104" w:right="185"/>
      </w:pPr>
      <w:r>
        <w:rPr>
          <w:spacing w:val="-2"/>
        </w:rPr>
        <w:lastRenderedPageBreak/>
        <w:t>The</w:t>
      </w:r>
      <w:r>
        <w:rPr>
          <w:spacing w:val="-8"/>
        </w:rPr>
        <w:t xml:space="preserve"> </w:t>
      </w:r>
      <w:r>
        <w:rPr>
          <w:spacing w:val="-2"/>
        </w:rPr>
        <w:t>other</w:t>
      </w:r>
      <w:r>
        <w:rPr>
          <w:spacing w:val="-10"/>
        </w:rPr>
        <w:t xml:space="preserve"> </w:t>
      </w:r>
      <w:r>
        <w:rPr>
          <w:spacing w:val="-2"/>
        </w:rPr>
        <w:t>potential</w:t>
      </w:r>
      <w:r>
        <w:rPr>
          <w:spacing w:val="-7"/>
        </w:rPr>
        <w:t xml:space="preserve"> </w:t>
      </w:r>
      <w:r>
        <w:rPr>
          <w:spacing w:val="-2"/>
        </w:rPr>
        <w:t>interferences</w:t>
      </w:r>
      <w:r>
        <w:rPr>
          <w:spacing w:val="-9"/>
        </w:rPr>
        <w:t xml:space="preserve"> </w:t>
      </w:r>
      <w:r>
        <w:rPr>
          <w:spacing w:val="-2"/>
        </w:rPr>
        <w:t>(</w:t>
      </w:r>
      <w:r>
        <w:rPr>
          <w:spacing w:val="-2"/>
          <w:vertAlign w:val="superscript"/>
        </w:rPr>
        <w:t>235</w:t>
      </w:r>
      <w:r>
        <w:rPr>
          <w:spacing w:val="-2"/>
        </w:rPr>
        <w:t>U</w:t>
      </w:r>
      <w:r>
        <w:rPr>
          <w:spacing w:val="-2"/>
          <w:vertAlign w:val="superscript"/>
        </w:rPr>
        <w:t>18</w:t>
      </w:r>
      <w:r>
        <w:rPr>
          <w:spacing w:val="-2"/>
        </w:rPr>
        <w:t>O</w:t>
      </w:r>
      <w:r>
        <w:rPr>
          <w:spacing w:val="-2"/>
          <w:vertAlign w:val="superscript"/>
        </w:rPr>
        <w:t>18</w:t>
      </w:r>
      <w:r>
        <w:rPr>
          <w:spacing w:val="-2"/>
        </w:rPr>
        <w:t>O</w:t>
      </w:r>
      <w:r>
        <w:rPr>
          <w:spacing w:val="-8"/>
        </w:rPr>
        <w:t xml:space="preserve"> </w:t>
      </w:r>
      <w:r>
        <w:rPr>
          <w:spacing w:val="-2"/>
        </w:rPr>
        <w:t>on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271</w:t>
      </w:r>
      <w:r>
        <w:rPr>
          <w:spacing w:val="-7"/>
        </w:rPr>
        <w:t xml:space="preserve"> </w:t>
      </w:r>
      <w:r>
        <w:rPr>
          <w:spacing w:val="-2"/>
        </w:rPr>
        <w:t>peak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  <w:vertAlign w:val="superscript"/>
        </w:rPr>
        <w:t>236</w:t>
      </w:r>
      <w:r>
        <w:rPr>
          <w:spacing w:val="-2"/>
        </w:rPr>
        <w:t>U</w:t>
      </w:r>
      <w:r>
        <w:rPr>
          <w:spacing w:val="-2"/>
          <w:vertAlign w:val="superscript"/>
        </w:rPr>
        <w:t>17</w:t>
      </w:r>
      <w:r>
        <w:rPr>
          <w:spacing w:val="-2"/>
        </w:rPr>
        <w:t>O</w:t>
      </w:r>
      <w:r>
        <w:rPr>
          <w:spacing w:val="-2"/>
          <w:vertAlign w:val="superscript"/>
        </w:rPr>
        <w:t>17</w:t>
      </w:r>
      <w:r>
        <w:rPr>
          <w:spacing w:val="-2"/>
        </w:rPr>
        <w:t>O,</w:t>
      </w:r>
      <w:r>
        <w:rPr>
          <w:spacing w:val="-9"/>
        </w:rPr>
        <w:t xml:space="preserve"> </w:t>
      </w:r>
      <w:r>
        <w:rPr>
          <w:spacing w:val="-2"/>
          <w:vertAlign w:val="superscript"/>
        </w:rPr>
        <w:t>236</w:t>
      </w:r>
      <w:r>
        <w:rPr>
          <w:spacing w:val="-2"/>
        </w:rPr>
        <w:t>U</w:t>
      </w:r>
      <w:r>
        <w:rPr>
          <w:spacing w:val="-2"/>
          <w:vertAlign w:val="superscript"/>
        </w:rPr>
        <w:t>16</w:t>
      </w:r>
      <w:r>
        <w:rPr>
          <w:spacing w:val="-2"/>
        </w:rPr>
        <w:t>O</w:t>
      </w:r>
      <w:r>
        <w:rPr>
          <w:spacing w:val="-2"/>
          <w:vertAlign w:val="superscript"/>
        </w:rPr>
        <w:t>18</w:t>
      </w:r>
      <w:r>
        <w:rPr>
          <w:spacing w:val="-2"/>
        </w:rPr>
        <w:t xml:space="preserve">O, </w:t>
      </w:r>
      <w:r>
        <w:rPr>
          <w:vertAlign w:val="superscript"/>
        </w:rPr>
        <w:t>236</w:t>
      </w:r>
      <w:r>
        <w:t>U</w:t>
      </w:r>
      <w:r>
        <w:rPr>
          <w:vertAlign w:val="superscript"/>
        </w:rPr>
        <w:t>18</w:t>
      </w:r>
      <w:r>
        <w:t>O</w:t>
      </w:r>
      <w:r>
        <w:rPr>
          <w:vertAlign w:val="superscript"/>
        </w:rPr>
        <w:t>16</w:t>
      </w:r>
      <w:r>
        <w:t>O and</w:t>
      </w:r>
      <w:r>
        <w:rPr>
          <w:spacing w:val="-4"/>
        </w:rPr>
        <w:t xml:space="preserve"> </w:t>
      </w:r>
      <w:r>
        <w:rPr>
          <w:vertAlign w:val="superscript"/>
        </w:rPr>
        <w:t>234</w:t>
      </w:r>
      <w:r>
        <w:t>U</w:t>
      </w:r>
      <w:r>
        <w:rPr>
          <w:vertAlign w:val="superscript"/>
        </w:rPr>
        <w:t>18</w:t>
      </w:r>
      <w:r>
        <w:t>O</w:t>
      </w:r>
      <w:r>
        <w:rPr>
          <w:vertAlign w:val="superscript"/>
        </w:rPr>
        <w:t>18</w:t>
      </w:r>
      <w:r>
        <w:t>O</w:t>
      </w:r>
      <w:r>
        <w:rPr>
          <w:spacing w:val="-4"/>
        </w:rPr>
        <w:t xml:space="preserve"> </w:t>
      </w:r>
      <w:r>
        <w:t>on the</w:t>
      </w:r>
      <w:r>
        <w:rPr>
          <w:spacing w:val="-5"/>
        </w:rPr>
        <w:t xml:space="preserve"> </w:t>
      </w:r>
      <w:r>
        <w:t>270 peak)</w:t>
      </w:r>
      <w:r>
        <w:rPr>
          <w:spacing w:val="-2"/>
        </w:rPr>
        <w:t xml:space="preserve"> </w:t>
      </w:r>
      <w:r>
        <w:t>are considered minor/zero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proofErr w:type="spellStart"/>
      <w:r>
        <w:t>unspiked</w:t>
      </w:r>
      <w:proofErr w:type="spellEnd"/>
      <w:r>
        <w:t xml:space="preserve"> natural Uranium and are ignored for this purpose.</w:t>
      </w:r>
    </w:p>
    <w:p w14:paraId="1D2B259A" w14:textId="77777777" w:rsidR="00067CDA" w:rsidRDefault="00067CDA" w:rsidP="00067CDA">
      <w:pPr>
        <w:spacing w:before="121" w:after="120"/>
        <w:ind w:left="104" w:right="185"/>
      </w:pPr>
      <w:r>
        <w:t>Thus</w:t>
      </w:r>
      <w:r>
        <w:rPr>
          <w:spacing w:val="-6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determine</w:t>
      </w:r>
      <w:r>
        <w:rPr>
          <w:spacing w:val="-5"/>
        </w:rPr>
        <w:t xml:space="preserve"> </w:t>
      </w:r>
      <w:r>
        <w:t>both</w:t>
      </w:r>
      <w:r>
        <w:rPr>
          <w:spacing w:val="-9"/>
        </w:rPr>
        <w:t xml:space="preserve"> </w:t>
      </w:r>
      <w:r>
        <w:t>R</w:t>
      </w:r>
      <w:r>
        <w:rPr>
          <w:vertAlign w:val="subscript"/>
        </w:rPr>
        <w:t>17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</w:t>
      </w:r>
      <w:r>
        <w:rPr>
          <w:vertAlign w:val="subscript"/>
        </w:rPr>
        <w:t>18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>measurement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 xml:space="preserve">U reference material enriched in </w:t>
      </w:r>
      <w:r>
        <w:rPr>
          <w:vertAlign w:val="superscript"/>
        </w:rPr>
        <w:t>238</w:t>
      </w:r>
      <w:r>
        <w:t>U (e.g., CRM 112a, CRM U500):</w:t>
      </w:r>
    </w:p>
    <w:p w14:paraId="1B4E3EF1" w14:textId="77777777" w:rsidR="00C768A5" w:rsidRDefault="00C768A5" w:rsidP="00C768A5">
      <w:pPr>
        <w:tabs>
          <w:tab w:val="right" w:pos="8280"/>
        </w:tabs>
      </w:pPr>
      <w:r w:rsidRPr="00C768A5">
        <w:rPr>
          <w:position w:val="-24"/>
        </w:rPr>
        <w:object w:dxaOrig="1540" w:dyaOrig="940" w14:anchorId="625ECF68">
          <v:shape id="_x0000_i1120" type="#_x0000_t75" style="width:76.8pt;height:46.4pt" o:ole="">
            <v:imagedata r:id="rId53" o:title=""/>
          </v:shape>
          <o:OLEObject Type="Embed" ProgID="Equation.3" ShapeID="_x0000_i1120" DrawAspect="Content" ObjectID="_1618845617" r:id="rId54"/>
        </w:object>
      </w:r>
      <w:r>
        <w:tab/>
        <w:t>(9</w:t>
      </w:r>
      <w:r>
        <w:t>)</w:t>
      </w:r>
    </w:p>
    <w:p w14:paraId="23D16DA8" w14:textId="77777777" w:rsidR="00067CDA" w:rsidRDefault="00067CDA" w:rsidP="00067CDA">
      <w:pPr>
        <w:spacing w:before="121" w:after="120"/>
        <w:ind w:left="104" w:right="185"/>
      </w:pPr>
    </w:p>
    <w:p w14:paraId="34689229" w14:textId="77777777" w:rsidR="00C768A5" w:rsidRDefault="00C768A5" w:rsidP="00C768A5">
      <w:pPr>
        <w:tabs>
          <w:tab w:val="right" w:pos="8280"/>
        </w:tabs>
      </w:pPr>
      <w:r w:rsidRPr="00C768A5">
        <w:rPr>
          <w:position w:val="-24"/>
        </w:rPr>
        <w:object w:dxaOrig="1540" w:dyaOrig="940" w14:anchorId="6A47A1F2">
          <v:shape id="_x0000_i1125" type="#_x0000_t75" style="width:76.8pt;height:46.4pt" o:ole="">
            <v:imagedata r:id="rId55" o:title=""/>
          </v:shape>
          <o:OLEObject Type="Embed" ProgID="Equation.3" ShapeID="_x0000_i1125" DrawAspect="Content" ObjectID="_1618845618" r:id="rId56"/>
        </w:object>
      </w:r>
      <w:r>
        <w:tab/>
        <w:t>(10)</w:t>
      </w:r>
    </w:p>
    <w:p w14:paraId="2ABBF75A" w14:textId="77777777" w:rsidR="00C768A5" w:rsidRPr="00067CDA" w:rsidRDefault="00C768A5" w:rsidP="00067CDA">
      <w:pPr>
        <w:spacing w:before="121" w:after="120"/>
        <w:ind w:left="104" w:right="185"/>
      </w:pPr>
    </w:p>
    <w:p w14:paraId="080D03FA" w14:textId="77777777" w:rsidR="00067CDA" w:rsidRDefault="00067CDA" w:rsidP="00067CDA">
      <w:pPr>
        <w:pStyle w:val="Heading2"/>
      </w:pPr>
      <w:r>
        <w:t>References</w:t>
      </w:r>
    </w:p>
    <w:p w14:paraId="765E3DD9" w14:textId="77777777" w:rsidR="00067CDA" w:rsidRDefault="00067CDA" w:rsidP="00067CDA">
      <w:pPr>
        <w:spacing w:after="120"/>
        <w:ind w:left="671" w:hanging="567"/>
      </w:pPr>
      <w:r>
        <w:t>De</w:t>
      </w:r>
      <w:r>
        <w:rPr>
          <w:spacing w:val="-4"/>
        </w:rPr>
        <w:t xml:space="preserve"> </w:t>
      </w:r>
      <w:proofErr w:type="spellStart"/>
      <w:r>
        <w:t>Laeter</w:t>
      </w:r>
      <w:proofErr w:type="spellEnd"/>
      <w:r>
        <w:t>,</w:t>
      </w:r>
      <w:r>
        <w:rPr>
          <w:spacing w:val="-5"/>
        </w:rPr>
        <w:t xml:space="preserve"> </w:t>
      </w:r>
      <w:r>
        <w:t>J.R.,</w:t>
      </w:r>
      <w:r>
        <w:rPr>
          <w:spacing w:val="-5"/>
        </w:rPr>
        <w:t xml:space="preserve"> </w:t>
      </w:r>
      <w:proofErr w:type="spellStart"/>
      <w:r>
        <w:t>Böhlke</w:t>
      </w:r>
      <w:proofErr w:type="spellEnd"/>
      <w:r>
        <w:t>,</w:t>
      </w:r>
      <w:r>
        <w:rPr>
          <w:spacing w:val="-1"/>
        </w:rPr>
        <w:t xml:space="preserve"> </w:t>
      </w:r>
      <w:r>
        <w:t>J.K.,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Bièvre</w:t>
      </w:r>
      <w:proofErr w:type="spellEnd"/>
      <w:r>
        <w:t>,</w:t>
      </w:r>
      <w:r>
        <w:rPr>
          <w:spacing w:val="-5"/>
        </w:rPr>
        <w:t xml:space="preserve"> </w:t>
      </w:r>
      <w:r>
        <w:t>P.,</w:t>
      </w:r>
      <w:r>
        <w:rPr>
          <w:spacing w:val="-1"/>
        </w:rPr>
        <w:t xml:space="preserve"> </w:t>
      </w:r>
      <w:r>
        <w:t>Hidaka,</w:t>
      </w:r>
      <w:r>
        <w:rPr>
          <w:spacing w:val="-1"/>
        </w:rPr>
        <w:t xml:space="preserve"> </w:t>
      </w:r>
      <w:r>
        <w:t>H.,</w:t>
      </w:r>
      <w:r>
        <w:rPr>
          <w:spacing w:val="-1"/>
        </w:rPr>
        <w:t xml:space="preserve"> </w:t>
      </w:r>
      <w:proofErr w:type="spellStart"/>
      <w:r>
        <w:t>Peiser</w:t>
      </w:r>
      <w:proofErr w:type="spellEnd"/>
      <w:r>
        <w:t>,</w:t>
      </w:r>
      <w:r>
        <w:rPr>
          <w:spacing w:val="-1"/>
        </w:rPr>
        <w:t xml:space="preserve"> </w:t>
      </w:r>
      <w:r>
        <w:t>H.S.,</w:t>
      </w:r>
      <w:r>
        <w:rPr>
          <w:spacing w:val="-1"/>
        </w:rPr>
        <w:t xml:space="preserve"> </w:t>
      </w:r>
      <w:proofErr w:type="spellStart"/>
      <w:r>
        <w:t>Rosman</w:t>
      </w:r>
      <w:proofErr w:type="spellEnd"/>
      <w:r>
        <w:t>,</w:t>
      </w:r>
      <w:r>
        <w:rPr>
          <w:spacing w:val="-1"/>
        </w:rPr>
        <w:t xml:space="preserve"> </w:t>
      </w:r>
      <w:r>
        <w:t>K.J.R,</w:t>
      </w:r>
      <w:r>
        <w:rPr>
          <w:spacing w:val="-1"/>
        </w:rPr>
        <w:t xml:space="preserve"> </w:t>
      </w:r>
      <w:r>
        <w:t>and Taylor, P.D.P., 2003.</w:t>
      </w:r>
      <w:r>
        <w:rPr>
          <w:spacing w:val="40"/>
        </w:rPr>
        <w:t xml:space="preserve"> </w:t>
      </w:r>
      <w:r>
        <w:t>Atomic weights of the elements: Review 2000.</w:t>
      </w:r>
      <w:r>
        <w:rPr>
          <w:spacing w:val="40"/>
        </w:rPr>
        <w:t xml:space="preserve"> </w:t>
      </w:r>
      <w:r>
        <w:t xml:space="preserve">Pure Appl. </w:t>
      </w:r>
      <w:proofErr w:type="spellStart"/>
      <w:r>
        <w:t>Chem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vol</w:t>
      </w:r>
      <w:proofErr w:type="spellEnd"/>
      <w:r>
        <w:rPr>
          <w:spacing w:val="-2"/>
        </w:rPr>
        <w:t xml:space="preserve"> </w:t>
      </w:r>
      <w:r>
        <w:t>75, pp. 683-</w:t>
      </w:r>
      <w:r>
        <w:rPr>
          <w:spacing w:val="-4"/>
        </w:rPr>
        <w:t>800.</w:t>
      </w:r>
    </w:p>
    <w:p w14:paraId="1877983C" w14:textId="77777777" w:rsidR="00067CDA" w:rsidRDefault="00067CDA" w:rsidP="00067CDA">
      <w:pPr>
        <w:spacing w:after="120"/>
        <w:ind w:left="824" w:right="272" w:hanging="720"/>
      </w:pPr>
      <w:proofErr w:type="spellStart"/>
      <w:r>
        <w:t>Luguet</w:t>
      </w:r>
      <w:proofErr w:type="spellEnd"/>
      <w:r>
        <w:t>, A., et al. (2008), 184Os/188Os and 186Os/188Os measurements by Negative Thermal</w:t>
      </w:r>
      <w:r>
        <w:rPr>
          <w:spacing w:val="-7"/>
        </w:rPr>
        <w:t xml:space="preserve"> </w:t>
      </w:r>
      <w:proofErr w:type="spellStart"/>
      <w:r>
        <w:t>Ionisation</w:t>
      </w:r>
      <w:proofErr w:type="spellEnd"/>
      <w:r>
        <w:rPr>
          <w:spacing w:val="-3"/>
        </w:rPr>
        <w:t xml:space="preserve"> </w:t>
      </w:r>
      <w:r>
        <w:t>Mass</w:t>
      </w:r>
      <w:r>
        <w:rPr>
          <w:spacing w:val="-5"/>
        </w:rPr>
        <w:t xml:space="preserve"> </w:t>
      </w:r>
      <w:r>
        <w:t>Spectrometry</w:t>
      </w:r>
      <w:r>
        <w:rPr>
          <w:spacing w:val="-3"/>
        </w:rPr>
        <w:t xml:space="preserve"> </w:t>
      </w:r>
      <w:r>
        <w:t>(N-TIMS):</w:t>
      </w:r>
      <w:r>
        <w:rPr>
          <w:spacing w:val="-7"/>
        </w:rPr>
        <w:t xml:space="preserve"> </w:t>
      </w:r>
      <w:r>
        <w:t>Effects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interfering</w:t>
      </w:r>
      <w:r>
        <w:rPr>
          <w:spacing w:val="-8"/>
        </w:rPr>
        <w:t xml:space="preserve"> </w:t>
      </w:r>
      <w:r>
        <w:t xml:space="preserve">element and mass fractionation corrections on data accuracy and precision, </w:t>
      </w:r>
      <w:proofErr w:type="spellStart"/>
      <w:r>
        <w:rPr>
          <w:i/>
        </w:rPr>
        <w:t>Chem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Geol</w:t>
      </w:r>
      <w:proofErr w:type="spellEnd"/>
      <w:r>
        <w:t xml:space="preserve">, </w:t>
      </w:r>
      <w:r>
        <w:rPr>
          <w:i/>
        </w:rPr>
        <w:t>248</w:t>
      </w:r>
      <w:r>
        <w:t>(3-4), 342-362.</w:t>
      </w:r>
    </w:p>
    <w:p w14:paraId="3F17E693" w14:textId="77777777" w:rsidR="00067CDA" w:rsidRDefault="00067CDA" w:rsidP="00067CDA">
      <w:pPr>
        <w:spacing w:after="120"/>
        <w:ind w:left="671" w:right="185" w:hanging="567"/>
      </w:pPr>
      <w:proofErr w:type="spellStart"/>
      <w:r>
        <w:t>Nier</w:t>
      </w:r>
      <w:proofErr w:type="spellEnd"/>
      <w:r>
        <w:t xml:space="preserve">, A.O., (1950) </w:t>
      </w:r>
      <w:proofErr w:type="gramStart"/>
      <w:r>
        <w:t>A</w:t>
      </w:r>
      <w:proofErr w:type="gramEnd"/>
      <w:r>
        <w:t xml:space="preserve"> redetermination of the relative abundances of the isotopes of carbon,</w:t>
      </w:r>
      <w:r>
        <w:rPr>
          <w:spacing w:val="-3"/>
        </w:rPr>
        <w:t xml:space="preserve"> </w:t>
      </w:r>
      <w:r>
        <w:t>nitrogen,</w:t>
      </w:r>
      <w:r>
        <w:rPr>
          <w:spacing w:val="-3"/>
        </w:rPr>
        <w:t xml:space="preserve"> </w:t>
      </w:r>
      <w:r>
        <w:t>oxygen,</w:t>
      </w:r>
      <w:r>
        <w:rPr>
          <w:spacing w:val="-3"/>
        </w:rPr>
        <w:t xml:space="preserve"> </w:t>
      </w:r>
      <w:r>
        <w:t>argon,</w:t>
      </w:r>
      <w:r>
        <w:rPr>
          <w:spacing w:val="-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potassium:</w:t>
      </w:r>
      <w:r>
        <w:rPr>
          <w:spacing w:val="-5"/>
        </w:rPr>
        <w:t xml:space="preserve"> </w:t>
      </w:r>
      <w:r>
        <w:rPr>
          <w:i/>
        </w:rPr>
        <w:t>Physics</w:t>
      </w:r>
      <w:r>
        <w:rPr>
          <w:i/>
          <w:spacing w:val="-6"/>
        </w:rPr>
        <w:t xml:space="preserve"> </w:t>
      </w:r>
      <w:r>
        <w:rPr>
          <w:i/>
        </w:rPr>
        <w:t>Review</w:t>
      </w:r>
      <w:r>
        <w:t>,</w:t>
      </w:r>
      <w:r>
        <w:rPr>
          <w:spacing w:val="-3"/>
        </w:rPr>
        <w:t xml:space="preserve"> </w:t>
      </w:r>
      <w:r>
        <w:t>v.</w:t>
      </w:r>
      <w:r>
        <w:rPr>
          <w:spacing w:val="-3"/>
        </w:rPr>
        <w:t xml:space="preserve"> </w:t>
      </w:r>
      <w:r>
        <w:t>77,</w:t>
      </w:r>
      <w:r>
        <w:rPr>
          <w:spacing w:val="-3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789-793.</w:t>
      </w:r>
    </w:p>
    <w:p w14:paraId="12F578C3" w14:textId="77777777" w:rsidR="00067CDA" w:rsidRDefault="00067CDA" w:rsidP="00067CDA">
      <w:pPr>
        <w:spacing w:after="120"/>
        <w:ind w:left="671" w:right="191" w:hanging="567"/>
        <w:jc w:val="both"/>
      </w:pPr>
      <w:proofErr w:type="spellStart"/>
      <w:r>
        <w:t>Wasserburg</w:t>
      </w:r>
      <w:proofErr w:type="spellEnd"/>
      <w:r>
        <w:t xml:space="preserve">, G.J., Jacobsen, S.B., </w:t>
      </w:r>
      <w:proofErr w:type="spellStart"/>
      <w:r>
        <w:t>DePaolo</w:t>
      </w:r>
      <w:proofErr w:type="spellEnd"/>
      <w:r>
        <w:t>, D.J., McCulloch, M.T., and Wen, T., (1981) Precise</w:t>
      </w:r>
      <w:r>
        <w:rPr>
          <w:spacing w:val="-3"/>
        </w:rPr>
        <w:t xml:space="preserve"> </w:t>
      </w:r>
      <w:r>
        <w:t>determination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r>
        <w:t>Sm</w:t>
      </w:r>
      <w:proofErr w:type="spellEnd"/>
      <w:r>
        <w:t>/</w:t>
      </w:r>
      <w:proofErr w:type="spellStart"/>
      <w:r>
        <w:t>Nd</w:t>
      </w:r>
      <w:proofErr w:type="spellEnd"/>
      <w:r>
        <w:rPr>
          <w:spacing w:val="-7"/>
        </w:rPr>
        <w:t xml:space="preserve"> </w:t>
      </w:r>
      <w:r>
        <w:t>ratios,</w:t>
      </w:r>
      <w:r>
        <w:rPr>
          <w:spacing w:val="-4"/>
        </w:rPr>
        <w:t xml:space="preserve"> </w:t>
      </w:r>
      <w:proofErr w:type="spellStart"/>
      <w:r>
        <w:t>Sm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proofErr w:type="spellStart"/>
      <w:r>
        <w:t>Nd</w:t>
      </w:r>
      <w:proofErr w:type="spellEnd"/>
      <w:r>
        <w:rPr>
          <w:spacing w:val="-7"/>
        </w:rPr>
        <w:t xml:space="preserve"> </w:t>
      </w:r>
      <w:r>
        <w:t>isotopic</w:t>
      </w:r>
      <w:r>
        <w:rPr>
          <w:spacing w:val="-3"/>
        </w:rPr>
        <w:t xml:space="preserve"> </w:t>
      </w:r>
      <w:r>
        <w:t>abundances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standard solutions: </w:t>
      </w:r>
      <w:proofErr w:type="spellStart"/>
      <w:r>
        <w:rPr>
          <w:i/>
        </w:rPr>
        <w:t>Geochimica</w:t>
      </w:r>
      <w:proofErr w:type="spellEnd"/>
      <w:r>
        <w:rPr>
          <w:i/>
        </w:rPr>
        <w:t xml:space="preserve"> et </w:t>
      </w:r>
      <w:proofErr w:type="spellStart"/>
      <w:r>
        <w:rPr>
          <w:i/>
        </w:rPr>
        <w:t>Cosmochimica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Acta</w:t>
      </w:r>
      <w:proofErr w:type="spellEnd"/>
      <w:r>
        <w:t>, v. 45, p. 2311-2323.</w:t>
      </w:r>
    </w:p>
    <w:p w14:paraId="6E267EC5" w14:textId="77777777" w:rsidR="00067CDA" w:rsidRDefault="00067CDA" w:rsidP="00067CDA">
      <w:pPr>
        <w:tabs>
          <w:tab w:val="right" w:pos="8280"/>
        </w:tabs>
        <w:spacing w:after="120"/>
      </w:pPr>
    </w:p>
    <w:sectPr w:rsidR="00067CDA" w:rsidSect="00067CD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DA"/>
    <w:rsid w:val="00040C74"/>
    <w:rsid w:val="00067CDA"/>
    <w:rsid w:val="00356CCE"/>
    <w:rsid w:val="00C7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2"/>
    <o:shapelayout v:ext="edit">
      <o:idmap v:ext="edit" data="1"/>
    </o:shapelayout>
  </w:shapeDefaults>
  <w:decimalSymbol w:val="."/>
  <w:listSeparator w:val=","/>
  <w14:docId w14:val="5B8115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7CDA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67C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7CDA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67C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4" Type="http://schemas.openxmlformats.org/officeDocument/2006/relationships/oleObject" Target="embeddings/Microsoft_Equation5.bin"/><Relationship Id="rId15" Type="http://schemas.openxmlformats.org/officeDocument/2006/relationships/image" Target="media/image6.emf"/><Relationship Id="rId16" Type="http://schemas.openxmlformats.org/officeDocument/2006/relationships/oleObject" Target="embeddings/Microsoft_Equation6.bin"/><Relationship Id="rId17" Type="http://schemas.openxmlformats.org/officeDocument/2006/relationships/image" Target="media/image7.emf"/><Relationship Id="rId18" Type="http://schemas.openxmlformats.org/officeDocument/2006/relationships/oleObject" Target="embeddings/Microsoft_Equation7.bin"/><Relationship Id="rId19" Type="http://schemas.openxmlformats.org/officeDocument/2006/relationships/image" Target="media/image8.emf"/><Relationship Id="rId50" Type="http://schemas.openxmlformats.org/officeDocument/2006/relationships/oleObject" Target="embeddings/Microsoft_Equation23.bin"/><Relationship Id="rId51" Type="http://schemas.openxmlformats.org/officeDocument/2006/relationships/image" Target="media/image24.emf"/><Relationship Id="rId52" Type="http://schemas.openxmlformats.org/officeDocument/2006/relationships/oleObject" Target="embeddings/Microsoft_Equation24.bin"/><Relationship Id="rId53" Type="http://schemas.openxmlformats.org/officeDocument/2006/relationships/image" Target="media/image25.emf"/><Relationship Id="rId54" Type="http://schemas.openxmlformats.org/officeDocument/2006/relationships/oleObject" Target="embeddings/Microsoft_Equation25.bin"/><Relationship Id="rId55" Type="http://schemas.openxmlformats.org/officeDocument/2006/relationships/image" Target="media/image26.emf"/><Relationship Id="rId56" Type="http://schemas.openxmlformats.org/officeDocument/2006/relationships/oleObject" Target="embeddings/Microsoft_Equation26.bin"/><Relationship Id="rId57" Type="http://schemas.openxmlformats.org/officeDocument/2006/relationships/fontTable" Target="fontTable.xml"/><Relationship Id="rId58" Type="http://schemas.openxmlformats.org/officeDocument/2006/relationships/theme" Target="theme/theme1.xml"/><Relationship Id="rId40" Type="http://schemas.openxmlformats.org/officeDocument/2006/relationships/oleObject" Target="embeddings/Microsoft_Equation18.bin"/><Relationship Id="rId41" Type="http://schemas.openxmlformats.org/officeDocument/2006/relationships/image" Target="media/image19.emf"/><Relationship Id="rId42" Type="http://schemas.openxmlformats.org/officeDocument/2006/relationships/oleObject" Target="embeddings/Microsoft_Equation19.bin"/><Relationship Id="rId43" Type="http://schemas.openxmlformats.org/officeDocument/2006/relationships/image" Target="media/image20.emf"/><Relationship Id="rId44" Type="http://schemas.openxmlformats.org/officeDocument/2006/relationships/oleObject" Target="embeddings/Microsoft_Equation20.bin"/><Relationship Id="rId45" Type="http://schemas.openxmlformats.org/officeDocument/2006/relationships/image" Target="media/image21.emf"/><Relationship Id="rId46" Type="http://schemas.openxmlformats.org/officeDocument/2006/relationships/oleObject" Target="embeddings/Microsoft_Equation21.bin"/><Relationship Id="rId47" Type="http://schemas.openxmlformats.org/officeDocument/2006/relationships/image" Target="media/image22.emf"/><Relationship Id="rId48" Type="http://schemas.openxmlformats.org/officeDocument/2006/relationships/oleObject" Target="embeddings/Microsoft_Equation22.bin"/><Relationship Id="rId49" Type="http://schemas.openxmlformats.org/officeDocument/2006/relationships/image" Target="media/image23.emf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oleObject" Target="embeddings/Microsoft_Equation1.bin"/><Relationship Id="rId7" Type="http://schemas.openxmlformats.org/officeDocument/2006/relationships/image" Target="media/image2.emf"/><Relationship Id="rId8" Type="http://schemas.openxmlformats.org/officeDocument/2006/relationships/oleObject" Target="embeddings/Microsoft_Equation2.bin"/><Relationship Id="rId9" Type="http://schemas.openxmlformats.org/officeDocument/2006/relationships/image" Target="media/image3.emf"/><Relationship Id="rId30" Type="http://schemas.openxmlformats.org/officeDocument/2006/relationships/oleObject" Target="embeddings/Microsoft_Equation13.bin"/><Relationship Id="rId31" Type="http://schemas.openxmlformats.org/officeDocument/2006/relationships/image" Target="media/image14.emf"/><Relationship Id="rId32" Type="http://schemas.openxmlformats.org/officeDocument/2006/relationships/oleObject" Target="embeddings/Microsoft_Equation14.bin"/><Relationship Id="rId33" Type="http://schemas.openxmlformats.org/officeDocument/2006/relationships/image" Target="media/image15.emf"/><Relationship Id="rId34" Type="http://schemas.openxmlformats.org/officeDocument/2006/relationships/oleObject" Target="embeddings/Microsoft_Equation15.bin"/><Relationship Id="rId35" Type="http://schemas.openxmlformats.org/officeDocument/2006/relationships/image" Target="media/image16.emf"/><Relationship Id="rId36" Type="http://schemas.openxmlformats.org/officeDocument/2006/relationships/oleObject" Target="embeddings/Microsoft_Equation16.bin"/><Relationship Id="rId37" Type="http://schemas.openxmlformats.org/officeDocument/2006/relationships/image" Target="media/image17.emf"/><Relationship Id="rId38" Type="http://schemas.openxmlformats.org/officeDocument/2006/relationships/oleObject" Target="embeddings/Microsoft_Equation17.bin"/><Relationship Id="rId39" Type="http://schemas.openxmlformats.org/officeDocument/2006/relationships/image" Target="media/image18.emf"/><Relationship Id="rId20" Type="http://schemas.openxmlformats.org/officeDocument/2006/relationships/oleObject" Target="embeddings/Microsoft_Equation8.bin"/><Relationship Id="rId21" Type="http://schemas.openxmlformats.org/officeDocument/2006/relationships/image" Target="media/image9.emf"/><Relationship Id="rId22" Type="http://schemas.openxmlformats.org/officeDocument/2006/relationships/oleObject" Target="embeddings/Microsoft_Equation9.bin"/><Relationship Id="rId23" Type="http://schemas.openxmlformats.org/officeDocument/2006/relationships/image" Target="media/image10.emf"/><Relationship Id="rId24" Type="http://schemas.openxmlformats.org/officeDocument/2006/relationships/oleObject" Target="embeddings/Microsoft_Equation10.bin"/><Relationship Id="rId25" Type="http://schemas.openxmlformats.org/officeDocument/2006/relationships/image" Target="media/image11.emf"/><Relationship Id="rId26" Type="http://schemas.openxmlformats.org/officeDocument/2006/relationships/oleObject" Target="embeddings/Microsoft_Equation11.bin"/><Relationship Id="rId27" Type="http://schemas.openxmlformats.org/officeDocument/2006/relationships/image" Target="media/image12.emf"/><Relationship Id="rId28" Type="http://schemas.openxmlformats.org/officeDocument/2006/relationships/oleObject" Target="embeddings/Microsoft_Equation12.bin"/><Relationship Id="rId29" Type="http://schemas.openxmlformats.org/officeDocument/2006/relationships/image" Target="media/image13.emf"/><Relationship Id="rId10" Type="http://schemas.openxmlformats.org/officeDocument/2006/relationships/oleObject" Target="embeddings/Microsoft_Equation3.bin"/><Relationship Id="rId11" Type="http://schemas.openxmlformats.org/officeDocument/2006/relationships/image" Target="media/image4.emf"/><Relationship Id="rId12" Type="http://schemas.openxmlformats.org/officeDocument/2006/relationships/oleObject" Target="embeddings/Microsoft_Equation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913</Words>
  <Characters>5207</Characters>
  <Application>Microsoft Macintosh Word</Application>
  <DocSecurity>0</DocSecurity>
  <Lines>43</Lines>
  <Paragraphs>12</Paragraphs>
  <ScaleCrop>false</ScaleCrop>
  <Company/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 Schmitz</cp:lastModifiedBy>
  <cp:revision>2</cp:revision>
  <dcterms:created xsi:type="dcterms:W3CDTF">2023-05-08T00:01:00Z</dcterms:created>
  <dcterms:modified xsi:type="dcterms:W3CDTF">2023-05-08T00:32:00Z</dcterms:modified>
</cp:coreProperties>
</file>