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FBB9" w14:textId="42E81D9D" w:rsidR="00C15420" w:rsidRPr="002E47AD" w:rsidRDefault="00C15420" w:rsidP="00C15420">
      <w:pPr>
        <w:jc w:val="center"/>
        <w:rPr>
          <w:b/>
          <w:sz w:val="22"/>
          <w:szCs w:val="22"/>
        </w:rPr>
      </w:pPr>
      <w:r w:rsidRPr="002E47AD">
        <w:rPr>
          <w:b/>
          <w:sz w:val="22"/>
          <w:szCs w:val="22"/>
        </w:rPr>
        <w:t>Guidelines for Us</w:t>
      </w:r>
      <w:r w:rsidR="00A72FF0" w:rsidRPr="002E47AD">
        <w:rPr>
          <w:b/>
          <w:sz w:val="22"/>
          <w:szCs w:val="22"/>
        </w:rPr>
        <w:t>ing</w:t>
      </w:r>
      <w:r w:rsidRPr="002E47AD">
        <w:rPr>
          <w:b/>
          <w:sz w:val="22"/>
          <w:szCs w:val="22"/>
        </w:rPr>
        <w:t xml:space="preserve"> the</w:t>
      </w:r>
      <w:r w:rsidR="00A72FF0" w:rsidRPr="002E47AD">
        <w:rPr>
          <w:b/>
          <w:sz w:val="22"/>
          <w:szCs w:val="22"/>
        </w:rPr>
        <w:t xml:space="preserve"> </w:t>
      </w:r>
      <w:r w:rsidRPr="002E47AD">
        <w:rPr>
          <w:b/>
          <w:sz w:val="22"/>
          <w:szCs w:val="22"/>
        </w:rPr>
        <w:t xml:space="preserve">Analytical Services </w:t>
      </w:r>
      <w:r w:rsidR="002E47AD" w:rsidRPr="002E47AD">
        <w:rPr>
          <w:b/>
          <w:sz w:val="22"/>
          <w:szCs w:val="22"/>
        </w:rPr>
        <w:t>Agreement</w:t>
      </w:r>
    </w:p>
    <w:p w14:paraId="13C8935E" w14:textId="77777777" w:rsidR="00C15420" w:rsidRPr="002E47AD" w:rsidRDefault="00C15420" w:rsidP="00C15420">
      <w:pPr>
        <w:jc w:val="both"/>
        <w:rPr>
          <w:b/>
          <w:i/>
          <w:sz w:val="22"/>
          <w:szCs w:val="22"/>
        </w:rPr>
      </w:pPr>
    </w:p>
    <w:p w14:paraId="3B50126A" w14:textId="0ACD517E" w:rsidR="006C7653" w:rsidRPr="002E47AD" w:rsidRDefault="006C7653" w:rsidP="00C15420">
      <w:pPr>
        <w:jc w:val="both"/>
        <w:rPr>
          <w:sz w:val="22"/>
          <w:szCs w:val="22"/>
        </w:rPr>
      </w:pPr>
      <w:r w:rsidRPr="002E47AD">
        <w:rPr>
          <w:b/>
          <w:sz w:val="22"/>
          <w:szCs w:val="22"/>
        </w:rPr>
        <w:t>Purpose:</w:t>
      </w:r>
      <w:r w:rsidRPr="002E47AD">
        <w:rPr>
          <w:sz w:val="22"/>
          <w:szCs w:val="22"/>
        </w:rPr>
        <w:t xml:space="preserve">  To</w:t>
      </w:r>
      <w:r w:rsidR="005F5FEC" w:rsidRPr="002E47AD">
        <w:rPr>
          <w:sz w:val="22"/>
          <w:szCs w:val="22"/>
        </w:rPr>
        <w:t xml:space="preserve"> provide guidance to</w:t>
      </w:r>
      <w:r w:rsidR="00BA70EE" w:rsidRPr="002E47AD">
        <w:rPr>
          <w:sz w:val="22"/>
          <w:szCs w:val="22"/>
        </w:rPr>
        <w:t xml:space="preserve"> Boise State University (“University”)</w:t>
      </w:r>
      <w:r w:rsidR="005F5FEC" w:rsidRPr="002E47AD">
        <w:rPr>
          <w:sz w:val="22"/>
          <w:szCs w:val="22"/>
        </w:rPr>
        <w:t xml:space="preserve"> </w:t>
      </w:r>
      <w:r w:rsidRPr="002E47AD">
        <w:rPr>
          <w:sz w:val="22"/>
          <w:szCs w:val="22"/>
        </w:rPr>
        <w:t xml:space="preserve">departments and colleges </w:t>
      </w:r>
      <w:r w:rsidR="005B20B9" w:rsidRPr="002E47AD">
        <w:rPr>
          <w:sz w:val="22"/>
          <w:szCs w:val="22"/>
        </w:rPr>
        <w:t xml:space="preserve">regarding </w:t>
      </w:r>
      <w:r w:rsidR="005F5FEC" w:rsidRPr="002E47AD">
        <w:rPr>
          <w:sz w:val="22"/>
          <w:szCs w:val="22"/>
        </w:rPr>
        <w:t>the use of</w:t>
      </w:r>
      <w:r w:rsidRPr="002E47AD">
        <w:rPr>
          <w:sz w:val="22"/>
          <w:szCs w:val="22"/>
        </w:rPr>
        <w:t xml:space="preserve"> the </w:t>
      </w:r>
      <w:r w:rsidR="00114A5F" w:rsidRPr="002E47AD">
        <w:rPr>
          <w:i/>
          <w:sz w:val="22"/>
          <w:szCs w:val="22"/>
        </w:rPr>
        <w:t>Boise State University Agreement for Non-</w:t>
      </w:r>
      <w:r w:rsidR="002E47AD" w:rsidRPr="002E47AD">
        <w:rPr>
          <w:i/>
          <w:sz w:val="22"/>
          <w:szCs w:val="22"/>
        </w:rPr>
        <w:t>Governmentally</w:t>
      </w:r>
      <w:r w:rsidR="00114A5F" w:rsidRPr="002E47AD">
        <w:rPr>
          <w:i/>
          <w:sz w:val="22"/>
          <w:szCs w:val="22"/>
        </w:rPr>
        <w:t xml:space="preserve"> Funded Analytical Services</w:t>
      </w:r>
      <w:r w:rsidR="00BA70EE" w:rsidRPr="002E47AD">
        <w:rPr>
          <w:sz w:val="22"/>
          <w:szCs w:val="22"/>
        </w:rPr>
        <w:t xml:space="preserve"> </w:t>
      </w:r>
      <w:r w:rsidR="0011344E" w:rsidRPr="002E47AD">
        <w:rPr>
          <w:sz w:val="22"/>
          <w:szCs w:val="22"/>
        </w:rPr>
        <w:t xml:space="preserve">(the “Analytical Services </w:t>
      </w:r>
      <w:r w:rsidR="002E47AD" w:rsidRPr="002E47AD">
        <w:rPr>
          <w:sz w:val="22"/>
          <w:szCs w:val="22"/>
        </w:rPr>
        <w:t>Agreement</w:t>
      </w:r>
      <w:r w:rsidR="0011344E" w:rsidRPr="002E47AD">
        <w:rPr>
          <w:sz w:val="22"/>
          <w:szCs w:val="22"/>
        </w:rPr>
        <w:t>”)</w:t>
      </w:r>
      <w:r w:rsidR="005F5FEC" w:rsidRPr="002E47AD">
        <w:rPr>
          <w:sz w:val="22"/>
          <w:szCs w:val="22"/>
        </w:rPr>
        <w:t>.</w:t>
      </w:r>
    </w:p>
    <w:p w14:paraId="09DF3784" w14:textId="77777777" w:rsidR="005F5FEC" w:rsidRPr="002E47AD" w:rsidRDefault="005F5FEC" w:rsidP="00C15420">
      <w:pPr>
        <w:jc w:val="both"/>
        <w:rPr>
          <w:sz w:val="22"/>
          <w:szCs w:val="22"/>
        </w:rPr>
      </w:pPr>
    </w:p>
    <w:p w14:paraId="53616F9C" w14:textId="5D1D2AB3" w:rsidR="005F5FEC" w:rsidRPr="002E47AD" w:rsidRDefault="005F5FEC" w:rsidP="00C15420">
      <w:pPr>
        <w:jc w:val="both"/>
        <w:rPr>
          <w:sz w:val="22"/>
          <w:szCs w:val="22"/>
        </w:rPr>
      </w:pPr>
      <w:r w:rsidRPr="002E47AD">
        <w:rPr>
          <w:b/>
          <w:sz w:val="22"/>
          <w:szCs w:val="22"/>
        </w:rPr>
        <w:t xml:space="preserve">Analytical Services </w:t>
      </w:r>
      <w:r w:rsidR="002E47AD" w:rsidRPr="002E47AD">
        <w:rPr>
          <w:b/>
          <w:sz w:val="22"/>
          <w:szCs w:val="22"/>
        </w:rPr>
        <w:t>Agreement</w:t>
      </w:r>
      <w:r w:rsidRPr="002E47AD">
        <w:rPr>
          <w:b/>
          <w:sz w:val="22"/>
          <w:szCs w:val="22"/>
        </w:rPr>
        <w:t>:</w:t>
      </w:r>
      <w:r w:rsidRPr="002E47AD">
        <w:rPr>
          <w:sz w:val="22"/>
          <w:szCs w:val="22"/>
        </w:rPr>
        <w:t xml:space="preserve">  The mechanism used to facilitate contractual relationships in which standardized services (testing, analysis, evaluation, etc.) are provided to clients.</w:t>
      </w:r>
    </w:p>
    <w:p w14:paraId="5C039766" w14:textId="77777777" w:rsidR="005F5FEC" w:rsidRPr="002E47AD" w:rsidRDefault="005F5FEC" w:rsidP="00C15420">
      <w:pPr>
        <w:jc w:val="both"/>
        <w:rPr>
          <w:sz w:val="22"/>
          <w:szCs w:val="22"/>
        </w:rPr>
      </w:pPr>
    </w:p>
    <w:p w14:paraId="10D41B32" w14:textId="584D2729" w:rsidR="005F5FEC" w:rsidRPr="002E47AD" w:rsidRDefault="005F5FEC" w:rsidP="00C15420">
      <w:pPr>
        <w:jc w:val="both"/>
        <w:rPr>
          <w:sz w:val="22"/>
          <w:szCs w:val="22"/>
        </w:rPr>
      </w:pPr>
      <w:r w:rsidRPr="002E47AD">
        <w:rPr>
          <w:sz w:val="22"/>
          <w:szCs w:val="22"/>
        </w:rPr>
        <w:t xml:space="preserve">The </w:t>
      </w:r>
      <w:r w:rsidR="0011344E" w:rsidRPr="002E47AD">
        <w:rPr>
          <w:sz w:val="22"/>
          <w:szCs w:val="22"/>
        </w:rPr>
        <w:t>A</w:t>
      </w:r>
      <w:r w:rsidRPr="002E47AD">
        <w:rPr>
          <w:sz w:val="22"/>
          <w:szCs w:val="22"/>
        </w:rPr>
        <w:t xml:space="preserve">nalytical </w:t>
      </w:r>
      <w:r w:rsidR="0011344E" w:rsidRPr="002E47AD">
        <w:rPr>
          <w:sz w:val="22"/>
          <w:szCs w:val="22"/>
        </w:rPr>
        <w:t>S</w:t>
      </w:r>
      <w:r w:rsidRPr="002E47AD">
        <w:rPr>
          <w:sz w:val="22"/>
          <w:szCs w:val="22"/>
        </w:rPr>
        <w:t>ervice</w:t>
      </w:r>
      <w:r w:rsidR="00C0185D" w:rsidRPr="002E47AD">
        <w:rPr>
          <w:sz w:val="22"/>
          <w:szCs w:val="22"/>
        </w:rPr>
        <w:t>s</w:t>
      </w:r>
      <w:r w:rsidRPr="002E47AD">
        <w:rPr>
          <w:sz w:val="22"/>
          <w:szCs w:val="22"/>
        </w:rPr>
        <w:t xml:space="preserve"> </w:t>
      </w:r>
      <w:r w:rsidR="002E47AD" w:rsidRPr="002E47AD">
        <w:rPr>
          <w:sz w:val="22"/>
          <w:szCs w:val="22"/>
        </w:rPr>
        <w:t>Agreement</w:t>
      </w:r>
      <w:r w:rsidRPr="002E47AD">
        <w:rPr>
          <w:sz w:val="22"/>
          <w:szCs w:val="22"/>
        </w:rPr>
        <w:t xml:space="preserve"> may be used for projects that involve </w:t>
      </w:r>
      <w:r w:rsidR="005B50EA" w:rsidRPr="002E47AD">
        <w:rPr>
          <w:sz w:val="22"/>
          <w:szCs w:val="22"/>
        </w:rPr>
        <w:t>standard routine analysis, evaluation, classification, diagnostic, or interpretation of a client’s data, samples, mecha</w:t>
      </w:r>
      <w:r w:rsidRPr="002E47AD">
        <w:rPr>
          <w:sz w:val="22"/>
          <w:szCs w:val="22"/>
        </w:rPr>
        <w:t>nisms, procedures, or product.</w:t>
      </w:r>
      <w:r w:rsidR="009E3D25" w:rsidRPr="002E47AD">
        <w:rPr>
          <w:sz w:val="22"/>
          <w:szCs w:val="22"/>
        </w:rPr>
        <w:t xml:space="preserve"> The service</w:t>
      </w:r>
      <w:r w:rsidR="00DC7641" w:rsidRPr="002E47AD">
        <w:rPr>
          <w:sz w:val="22"/>
          <w:szCs w:val="22"/>
        </w:rPr>
        <w:t>s</w:t>
      </w:r>
      <w:r w:rsidR="009E3D25" w:rsidRPr="002E47AD">
        <w:rPr>
          <w:sz w:val="22"/>
          <w:szCs w:val="22"/>
        </w:rPr>
        <w:t xml:space="preserve"> provided </w:t>
      </w:r>
      <w:r w:rsidR="006D3927" w:rsidRPr="002E47AD">
        <w:rPr>
          <w:sz w:val="22"/>
          <w:szCs w:val="22"/>
        </w:rPr>
        <w:t xml:space="preserve">must </w:t>
      </w:r>
      <w:r w:rsidR="009E3D25" w:rsidRPr="002E47AD">
        <w:rPr>
          <w:sz w:val="22"/>
          <w:szCs w:val="22"/>
        </w:rPr>
        <w:t>use established methods and techniques that are routinely performed. If the project to be performed is for research or creative activities, or involve</w:t>
      </w:r>
      <w:r w:rsidR="00534E78" w:rsidRPr="002E47AD">
        <w:rPr>
          <w:sz w:val="22"/>
          <w:szCs w:val="22"/>
        </w:rPr>
        <w:t>s</w:t>
      </w:r>
      <w:r w:rsidR="009E3D25" w:rsidRPr="002E47AD">
        <w:rPr>
          <w:sz w:val="22"/>
          <w:szCs w:val="22"/>
        </w:rPr>
        <w:t xml:space="preserve"> the creation of new knowledge, the </w:t>
      </w:r>
      <w:r w:rsidR="00534E78" w:rsidRPr="002E47AD">
        <w:rPr>
          <w:sz w:val="22"/>
          <w:szCs w:val="22"/>
        </w:rPr>
        <w:t>A</w:t>
      </w:r>
      <w:r w:rsidR="009E3D25" w:rsidRPr="002E47AD">
        <w:rPr>
          <w:sz w:val="22"/>
          <w:szCs w:val="22"/>
        </w:rPr>
        <w:t xml:space="preserve">nalytical </w:t>
      </w:r>
      <w:r w:rsidR="00534E78" w:rsidRPr="002E47AD">
        <w:rPr>
          <w:sz w:val="22"/>
          <w:szCs w:val="22"/>
        </w:rPr>
        <w:t>S</w:t>
      </w:r>
      <w:r w:rsidR="009E3D25" w:rsidRPr="002E47AD">
        <w:rPr>
          <w:sz w:val="22"/>
          <w:szCs w:val="22"/>
        </w:rPr>
        <w:t xml:space="preserve">ervices </w:t>
      </w:r>
      <w:r w:rsidR="002E47AD" w:rsidRPr="002E47AD">
        <w:rPr>
          <w:sz w:val="22"/>
          <w:szCs w:val="22"/>
        </w:rPr>
        <w:t>Agreement</w:t>
      </w:r>
      <w:r w:rsidR="009E3D25" w:rsidRPr="002E47AD">
        <w:rPr>
          <w:sz w:val="22"/>
          <w:szCs w:val="22"/>
        </w:rPr>
        <w:t xml:space="preserve"> </w:t>
      </w:r>
      <w:r w:rsidR="00534E78" w:rsidRPr="002E47AD">
        <w:rPr>
          <w:b/>
          <w:sz w:val="22"/>
          <w:szCs w:val="22"/>
        </w:rPr>
        <w:t>can</w:t>
      </w:r>
      <w:r w:rsidR="009E3D25" w:rsidRPr="002E47AD">
        <w:rPr>
          <w:b/>
          <w:sz w:val="22"/>
          <w:szCs w:val="22"/>
        </w:rPr>
        <w:t>not</w:t>
      </w:r>
      <w:r w:rsidR="009E3D25" w:rsidRPr="002E47AD">
        <w:rPr>
          <w:sz w:val="22"/>
          <w:szCs w:val="22"/>
        </w:rPr>
        <w:t xml:space="preserve"> be used.</w:t>
      </w:r>
    </w:p>
    <w:p w14:paraId="3423F94C" w14:textId="77777777" w:rsidR="005F5FEC" w:rsidRPr="002E47AD" w:rsidRDefault="005F5FEC" w:rsidP="00C15420">
      <w:pPr>
        <w:jc w:val="both"/>
        <w:rPr>
          <w:sz w:val="22"/>
          <w:szCs w:val="22"/>
        </w:rPr>
      </w:pPr>
    </w:p>
    <w:p w14:paraId="6F56AAEE" w14:textId="70ACF9C2" w:rsidR="005F5FEC" w:rsidRPr="002E47AD" w:rsidRDefault="00CB0E04">
      <w:pPr>
        <w:jc w:val="both"/>
        <w:rPr>
          <w:sz w:val="22"/>
          <w:szCs w:val="22"/>
        </w:rPr>
      </w:pPr>
      <w:r w:rsidRPr="002E47AD">
        <w:rPr>
          <w:sz w:val="22"/>
          <w:szCs w:val="22"/>
          <w:u w:val="single"/>
        </w:rPr>
        <w:t>All</w:t>
      </w:r>
      <w:r w:rsidRPr="002E47AD">
        <w:rPr>
          <w:sz w:val="22"/>
          <w:szCs w:val="22"/>
        </w:rPr>
        <w:t xml:space="preserve"> of the following </w:t>
      </w:r>
      <w:r w:rsidR="005F5FEC" w:rsidRPr="002E47AD">
        <w:rPr>
          <w:sz w:val="22"/>
          <w:szCs w:val="22"/>
        </w:rPr>
        <w:t>criteria</w:t>
      </w:r>
      <w:r w:rsidR="009E3D25" w:rsidRPr="002E47AD">
        <w:rPr>
          <w:sz w:val="22"/>
          <w:szCs w:val="22"/>
        </w:rPr>
        <w:t xml:space="preserve"> </w:t>
      </w:r>
      <w:r w:rsidRPr="002E47AD">
        <w:rPr>
          <w:sz w:val="22"/>
          <w:szCs w:val="22"/>
          <w:u w:val="single"/>
        </w:rPr>
        <w:t>must be satisfied</w:t>
      </w:r>
      <w:r w:rsidRPr="002E47AD">
        <w:rPr>
          <w:sz w:val="22"/>
          <w:szCs w:val="22"/>
        </w:rPr>
        <w:t xml:space="preserve"> to </w:t>
      </w:r>
      <w:r w:rsidR="009E3D25" w:rsidRPr="002E47AD">
        <w:rPr>
          <w:sz w:val="22"/>
          <w:szCs w:val="22"/>
        </w:rPr>
        <w:t xml:space="preserve">use the </w:t>
      </w:r>
      <w:r w:rsidR="00367F6B" w:rsidRPr="002E47AD">
        <w:rPr>
          <w:sz w:val="22"/>
          <w:szCs w:val="22"/>
        </w:rPr>
        <w:t>A</w:t>
      </w:r>
      <w:r w:rsidR="005B20B9" w:rsidRPr="002E47AD">
        <w:rPr>
          <w:sz w:val="22"/>
          <w:szCs w:val="22"/>
        </w:rPr>
        <w:t xml:space="preserve">nalytical </w:t>
      </w:r>
      <w:r w:rsidR="00C0185D" w:rsidRPr="002E47AD">
        <w:rPr>
          <w:sz w:val="22"/>
          <w:szCs w:val="22"/>
        </w:rPr>
        <w:t>S</w:t>
      </w:r>
      <w:r w:rsidR="005B20B9" w:rsidRPr="002E47AD">
        <w:rPr>
          <w:sz w:val="22"/>
          <w:szCs w:val="22"/>
        </w:rPr>
        <w:t>ervice</w:t>
      </w:r>
      <w:r w:rsidR="00C0185D" w:rsidRPr="002E47AD">
        <w:rPr>
          <w:sz w:val="22"/>
          <w:szCs w:val="22"/>
        </w:rPr>
        <w:t>s</w:t>
      </w:r>
      <w:r w:rsidR="005B20B9" w:rsidRPr="002E47AD">
        <w:rPr>
          <w:sz w:val="22"/>
          <w:szCs w:val="22"/>
        </w:rPr>
        <w:t xml:space="preserve"> </w:t>
      </w:r>
      <w:r w:rsidR="002E47AD" w:rsidRPr="002E47AD">
        <w:rPr>
          <w:sz w:val="22"/>
          <w:szCs w:val="22"/>
        </w:rPr>
        <w:t>Agreement</w:t>
      </w:r>
      <w:r w:rsidR="005F5FEC" w:rsidRPr="002E47AD">
        <w:rPr>
          <w:sz w:val="22"/>
          <w:szCs w:val="22"/>
        </w:rPr>
        <w:t>:</w:t>
      </w:r>
    </w:p>
    <w:p w14:paraId="6AE85E6D" w14:textId="77777777" w:rsidR="005F5FEC" w:rsidRPr="002E47AD" w:rsidRDefault="005F5FEC">
      <w:pPr>
        <w:jc w:val="both"/>
        <w:rPr>
          <w:sz w:val="22"/>
          <w:szCs w:val="22"/>
        </w:rPr>
      </w:pPr>
    </w:p>
    <w:p w14:paraId="6F7B6013" w14:textId="1E2F4248" w:rsidR="00234D84" w:rsidRPr="002E47AD" w:rsidRDefault="00CC7874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>S</w:t>
      </w:r>
      <w:r w:rsidR="009E3D25" w:rsidRPr="002E47AD">
        <w:rPr>
          <w:sz w:val="22"/>
          <w:szCs w:val="22"/>
        </w:rPr>
        <w:t>ervice</w:t>
      </w:r>
      <w:r w:rsidRPr="002E47AD">
        <w:rPr>
          <w:sz w:val="22"/>
          <w:szCs w:val="22"/>
        </w:rPr>
        <w:t>s must</w:t>
      </w:r>
      <w:r w:rsidR="009E3D25" w:rsidRPr="002E47AD">
        <w:rPr>
          <w:sz w:val="22"/>
          <w:szCs w:val="22"/>
        </w:rPr>
        <w:t xml:space="preserve"> not </w:t>
      </w:r>
      <w:r w:rsidRPr="002E47AD">
        <w:rPr>
          <w:sz w:val="22"/>
          <w:szCs w:val="22"/>
        </w:rPr>
        <w:t xml:space="preserve">be </w:t>
      </w:r>
      <w:r w:rsidR="009E3D25" w:rsidRPr="002E47AD">
        <w:rPr>
          <w:sz w:val="22"/>
          <w:szCs w:val="22"/>
        </w:rPr>
        <w:t>readily available from the private sector;</w:t>
      </w:r>
    </w:p>
    <w:p w14:paraId="6B21A911" w14:textId="48CA7D14" w:rsidR="009E3D25" w:rsidRPr="002E47AD" w:rsidRDefault="005B50EA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color w:val="000000"/>
          <w:sz w:val="22"/>
          <w:szCs w:val="22"/>
        </w:rPr>
        <w:t xml:space="preserve">No intellectual property is anticipated to </w:t>
      </w:r>
      <w:r w:rsidR="00C0185D" w:rsidRPr="002E47AD">
        <w:rPr>
          <w:color w:val="000000"/>
          <w:sz w:val="22"/>
          <w:szCs w:val="22"/>
        </w:rPr>
        <w:t xml:space="preserve">be developed or </w:t>
      </w:r>
      <w:r w:rsidRPr="002E47AD">
        <w:rPr>
          <w:color w:val="000000"/>
          <w:sz w:val="22"/>
          <w:szCs w:val="22"/>
        </w:rPr>
        <w:t>result from th</w:t>
      </w:r>
      <w:r w:rsidR="00CC7874" w:rsidRPr="002E47AD">
        <w:rPr>
          <w:color w:val="000000"/>
          <w:sz w:val="22"/>
          <w:szCs w:val="22"/>
        </w:rPr>
        <w:t>e</w:t>
      </w:r>
      <w:r w:rsidRPr="002E47AD">
        <w:rPr>
          <w:color w:val="000000"/>
          <w:sz w:val="22"/>
          <w:szCs w:val="22"/>
        </w:rPr>
        <w:t xml:space="preserve"> service</w:t>
      </w:r>
      <w:r w:rsidR="00CC7874" w:rsidRPr="002E47AD">
        <w:rPr>
          <w:color w:val="000000"/>
          <w:sz w:val="22"/>
          <w:szCs w:val="22"/>
        </w:rPr>
        <w:t>s</w:t>
      </w:r>
      <w:r w:rsidRPr="002E47AD">
        <w:rPr>
          <w:color w:val="000000"/>
          <w:sz w:val="22"/>
          <w:szCs w:val="22"/>
        </w:rPr>
        <w:t>;</w:t>
      </w:r>
    </w:p>
    <w:p w14:paraId="4F4E5DD7" w14:textId="2387B14B" w:rsidR="00C0185D" w:rsidRPr="002E47AD" w:rsidRDefault="00C0185D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color w:val="000000"/>
          <w:sz w:val="22"/>
          <w:szCs w:val="22"/>
        </w:rPr>
        <w:t xml:space="preserve">No modification of any intellectual property owned by University (“University IP”) will occur and no rights in University IP will be transferred to the client; </w:t>
      </w:r>
    </w:p>
    <w:p w14:paraId="055FEE3C" w14:textId="18EE6B9F" w:rsidR="005B50EA" w:rsidRPr="002E47AD" w:rsidRDefault="005B50EA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color w:val="000000"/>
          <w:sz w:val="22"/>
          <w:szCs w:val="22"/>
        </w:rPr>
        <w:t xml:space="preserve">No </w:t>
      </w:r>
      <w:r w:rsidR="00CC7874" w:rsidRPr="002E47AD">
        <w:rPr>
          <w:color w:val="000000"/>
          <w:sz w:val="22"/>
          <w:szCs w:val="22"/>
        </w:rPr>
        <w:t xml:space="preserve">University </w:t>
      </w:r>
      <w:r w:rsidRPr="002E47AD">
        <w:rPr>
          <w:color w:val="000000"/>
          <w:sz w:val="22"/>
          <w:szCs w:val="22"/>
        </w:rPr>
        <w:t>cost sharing or matching funds are required;</w:t>
      </w:r>
    </w:p>
    <w:p w14:paraId="4C432D6B" w14:textId="5F69AB76" w:rsidR="005B50EA" w:rsidRPr="002E47AD" w:rsidRDefault="005B50EA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color w:val="000000"/>
          <w:sz w:val="22"/>
          <w:szCs w:val="22"/>
        </w:rPr>
        <w:t>No subawards</w:t>
      </w:r>
      <w:r w:rsidR="00C0185D" w:rsidRPr="002E47AD">
        <w:rPr>
          <w:color w:val="000000"/>
          <w:sz w:val="22"/>
          <w:szCs w:val="22"/>
        </w:rPr>
        <w:t>, subcontracts</w:t>
      </w:r>
      <w:r w:rsidR="002E47AD" w:rsidRPr="002E47AD">
        <w:rPr>
          <w:color w:val="000000"/>
          <w:sz w:val="22"/>
          <w:szCs w:val="22"/>
        </w:rPr>
        <w:t>,</w:t>
      </w:r>
      <w:r w:rsidRPr="002E47AD">
        <w:rPr>
          <w:color w:val="000000"/>
          <w:sz w:val="22"/>
          <w:szCs w:val="22"/>
        </w:rPr>
        <w:t xml:space="preserve"> or pass-through funding to</w:t>
      </w:r>
      <w:r w:rsidR="009E3D25" w:rsidRPr="002E47AD">
        <w:rPr>
          <w:color w:val="000000"/>
          <w:sz w:val="22"/>
          <w:szCs w:val="22"/>
        </w:rPr>
        <w:t xml:space="preserve"> another entity </w:t>
      </w:r>
      <w:r w:rsidR="00DC7641" w:rsidRPr="002E47AD">
        <w:rPr>
          <w:color w:val="000000"/>
          <w:sz w:val="22"/>
          <w:szCs w:val="22"/>
        </w:rPr>
        <w:t>are</w:t>
      </w:r>
      <w:r w:rsidR="009E3D25" w:rsidRPr="002E47AD">
        <w:rPr>
          <w:color w:val="000000"/>
          <w:sz w:val="22"/>
          <w:szCs w:val="22"/>
        </w:rPr>
        <w:t xml:space="preserve"> contemplated;</w:t>
      </w:r>
    </w:p>
    <w:p w14:paraId="48322F7F" w14:textId="22E435B9" w:rsidR="009E3D25" w:rsidRPr="002E47AD" w:rsidRDefault="00CB0E04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color w:val="000000"/>
          <w:sz w:val="22"/>
          <w:szCs w:val="22"/>
        </w:rPr>
        <w:t xml:space="preserve">No services may </w:t>
      </w:r>
      <w:r w:rsidR="009E3D25" w:rsidRPr="002E47AD">
        <w:rPr>
          <w:color w:val="000000"/>
          <w:sz w:val="22"/>
          <w:szCs w:val="22"/>
        </w:rPr>
        <w:t xml:space="preserve">be </w:t>
      </w:r>
      <w:r w:rsidRPr="002E47AD">
        <w:rPr>
          <w:color w:val="000000"/>
          <w:sz w:val="22"/>
          <w:szCs w:val="22"/>
        </w:rPr>
        <w:t>performed</w:t>
      </w:r>
      <w:r w:rsidR="009E3D25" w:rsidRPr="002E47AD">
        <w:rPr>
          <w:color w:val="000000"/>
          <w:sz w:val="22"/>
          <w:szCs w:val="22"/>
        </w:rPr>
        <w:t xml:space="preserve"> </w:t>
      </w:r>
      <w:r w:rsidR="005B20B9" w:rsidRPr="002E47AD">
        <w:rPr>
          <w:color w:val="000000"/>
          <w:sz w:val="22"/>
          <w:szCs w:val="22"/>
        </w:rPr>
        <w:t>for</w:t>
      </w:r>
      <w:r w:rsidR="009E3D25" w:rsidRPr="002E47AD">
        <w:rPr>
          <w:color w:val="000000"/>
          <w:sz w:val="22"/>
          <w:szCs w:val="22"/>
        </w:rPr>
        <w:t xml:space="preserve"> government clients</w:t>
      </w:r>
      <w:r w:rsidR="00C0185D" w:rsidRPr="002E47AD">
        <w:rPr>
          <w:color w:val="000000"/>
          <w:sz w:val="22"/>
          <w:szCs w:val="22"/>
        </w:rPr>
        <w:t xml:space="preserve"> (Federal, state, county</w:t>
      </w:r>
      <w:r w:rsidR="00241F6D">
        <w:rPr>
          <w:color w:val="000000"/>
          <w:sz w:val="22"/>
          <w:szCs w:val="22"/>
        </w:rPr>
        <w:t>,</w:t>
      </w:r>
      <w:r w:rsidR="00C0185D" w:rsidRPr="002E47AD">
        <w:rPr>
          <w:color w:val="000000"/>
          <w:sz w:val="22"/>
          <w:szCs w:val="22"/>
        </w:rPr>
        <w:t xml:space="preserve"> or municipality, etc.)</w:t>
      </w:r>
      <w:r w:rsidR="009E3D25" w:rsidRPr="002E47AD">
        <w:rPr>
          <w:color w:val="000000"/>
          <w:sz w:val="22"/>
          <w:szCs w:val="22"/>
        </w:rPr>
        <w:t xml:space="preserve"> or clients using </w:t>
      </w:r>
      <w:r w:rsidRPr="002E47AD">
        <w:rPr>
          <w:color w:val="000000"/>
          <w:sz w:val="22"/>
          <w:szCs w:val="22"/>
        </w:rPr>
        <w:t>government</w:t>
      </w:r>
      <w:r w:rsidR="00C0185D" w:rsidRPr="002E47AD">
        <w:rPr>
          <w:color w:val="000000"/>
          <w:sz w:val="22"/>
          <w:szCs w:val="22"/>
        </w:rPr>
        <w:t xml:space="preserve"> </w:t>
      </w:r>
      <w:r w:rsidR="009E3D25" w:rsidRPr="002E47AD">
        <w:rPr>
          <w:color w:val="000000"/>
          <w:sz w:val="22"/>
          <w:szCs w:val="22"/>
        </w:rPr>
        <w:t>funds</w:t>
      </w:r>
      <w:r w:rsidR="005B20B9" w:rsidRPr="002E47AD">
        <w:rPr>
          <w:color w:val="000000"/>
          <w:sz w:val="22"/>
          <w:szCs w:val="22"/>
        </w:rPr>
        <w:t>;</w:t>
      </w:r>
    </w:p>
    <w:p w14:paraId="4854FBDE" w14:textId="4E6F7FB5" w:rsidR="009E3D25" w:rsidRPr="002E47AD" w:rsidRDefault="009E3D25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 xml:space="preserve">The </w:t>
      </w:r>
      <w:r w:rsidR="00CB0E04" w:rsidRPr="002E47AD">
        <w:rPr>
          <w:sz w:val="22"/>
          <w:szCs w:val="22"/>
        </w:rPr>
        <w:t xml:space="preserve">maximum ceiling </w:t>
      </w:r>
      <w:r w:rsidRPr="002E47AD">
        <w:rPr>
          <w:sz w:val="22"/>
          <w:szCs w:val="22"/>
        </w:rPr>
        <w:t xml:space="preserve">for </w:t>
      </w:r>
      <w:r w:rsidR="005B20B9" w:rsidRPr="002E47AD">
        <w:rPr>
          <w:sz w:val="22"/>
          <w:szCs w:val="22"/>
        </w:rPr>
        <w:t>individual</w:t>
      </w:r>
      <w:r w:rsidRPr="002E47AD">
        <w:rPr>
          <w:sz w:val="22"/>
          <w:szCs w:val="22"/>
        </w:rPr>
        <w:t xml:space="preserve"> projects </w:t>
      </w:r>
      <w:r w:rsidR="00CB0E04" w:rsidRPr="002E47AD">
        <w:rPr>
          <w:sz w:val="22"/>
          <w:szCs w:val="22"/>
        </w:rPr>
        <w:t>is</w:t>
      </w:r>
      <w:r w:rsidRPr="002E47AD">
        <w:rPr>
          <w:sz w:val="22"/>
          <w:szCs w:val="22"/>
        </w:rPr>
        <w:t xml:space="preserve"> </w:t>
      </w:r>
      <w:r w:rsidRPr="00241F6D">
        <w:rPr>
          <w:b/>
          <w:sz w:val="22"/>
          <w:szCs w:val="22"/>
        </w:rPr>
        <w:t>$5000.00</w:t>
      </w:r>
      <w:r w:rsidR="00CB0E04" w:rsidRPr="002E47AD">
        <w:rPr>
          <w:sz w:val="22"/>
          <w:szCs w:val="22"/>
        </w:rPr>
        <w:t xml:space="preserve"> and services</w:t>
      </w:r>
      <w:r w:rsidR="005B20B9" w:rsidRPr="002E47AD">
        <w:rPr>
          <w:sz w:val="22"/>
          <w:szCs w:val="22"/>
        </w:rPr>
        <w:t xml:space="preserve"> are </w:t>
      </w:r>
      <w:r w:rsidR="00CB0E04" w:rsidRPr="00241F6D">
        <w:rPr>
          <w:b/>
          <w:sz w:val="22"/>
          <w:szCs w:val="22"/>
        </w:rPr>
        <w:t xml:space="preserve">not </w:t>
      </w:r>
      <w:r w:rsidR="005B20B9" w:rsidRPr="00241F6D">
        <w:rPr>
          <w:b/>
          <w:sz w:val="22"/>
          <w:szCs w:val="22"/>
        </w:rPr>
        <w:t>expected to be ongoing</w:t>
      </w:r>
      <w:r w:rsidR="00CB0E04" w:rsidRPr="002E47AD">
        <w:rPr>
          <w:sz w:val="22"/>
          <w:szCs w:val="22"/>
        </w:rPr>
        <w:t xml:space="preserve"> (e.g., </w:t>
      </w:r>
      <w:r w:rsidR="00CC7874" w:rsidRPr="002E47AD">
        <w:rPr>
          <w:sz w:val="22"/>
          <w:szCs w:val="22"/>
        </w:rPr>
        <w:t xml:space="preserve">the Analytical Services </w:t>
      </w:r>
      <w:r w:rsidR="002E47AD" w:rsidRPr="002E47AD">
        <w:rPr>
          <w:sz w:val="22"/>
          <w:szCs w:val="22"/>
        </w:rPr>
        <w:t>Agreement</w:t>
      </w:r>
      <w:r w:rsidR="00CC7874" w:rsidRPr="002E47AD">
        <w:rPr>
          <w:sz w:val="22"/>
          <w:szCs w:val="22"/>
        </w:rPr>
        <w:t xml:space="preserve"> is </w:t>
      </w:r>
      <w:r w:rsidR="00CB0E04" w:rsidRPr="002E47AD">
        <w:rPr>
          <w:sz w:val="22"/>
          <w:szCs w:val="22"/>
        </w:rPr>
        <w:t>not appropriate for several planned</w:t>
      </w:r>
      <w:r w:rsidR="00241F6D">
        <w:rPr>
          <w:sz w:val="22"/>
          <w:szCs w:val="22"/>
        </w:rPr>
        <w:t xml:space="preserve"> or anticipated </w:t>
      </w:r>
      <w:r w:rsidR="00CB0E04" w:rsidRPr="002E47AD">
        <w:rPr>
          <w:sz w:val="22"/>
          <w:szCs w:val="22"/>
        </w:rPr>
        <w:t>projects)</w:t>
      </w:r>
      <w:r w:rsidR="005B20B9" w:rsidRPr="002E47AD">
        <w:rPr>
          <w:sz w:val="22"/>
          <w:szCs w:val="22"/>
        </w:rPr>
        <w:t>;</w:t>
      </w:r>
    </w:p>
    <w:p w14:paraId="7F4F6097" w14:textId="23609D8F" w:rsidR="006C7653" w:rsidRPr="002E47AD" w:rsidRDefault="009E3D25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 xml:space="preserve">Fees charged for services </w:t>
      </w:r>
      <w:r w:rsidR="00C0185D" w:rsidRPr="002E47AD">
        <w:rPr>
          <w:sz w:val="22"/>
          <w:szCs w:val="22"/>
        </w:rPr>
        <w:t>must</w:t>
      </w:r>
      <w:r w:rsidRPr="002E47AD">
        <w:rPr>
          <w:sz w:val="22"/>
          <w:szCs w:val="22"/>
        </w:rPr>
        <w:t xml:space="preserve"> cover </w:t>
      </w:r>
      <w:r w:rsidR="00CB0E04" w:rsidRPr="002E47AD">
        <w:rPr>
          <w:sz w:val="22"/>
          <w:szCs w:val="22"/>
        </w:rPr>
        <w:t xml:space="preserve">all of University’s </w:t>
      </w:r>
      <w:r w:rsidRPr="002E47AD">
        <w:rPr>
          <w:sz w:val="22"/>
          <w:szCs w:val="22"/>
        </w:rPr>
        <w:t>actual costs</w:t>
      </w:r>
      <w:r w:rsidR="00CB0E04" w:rsidRPr="002E47AD">
        <w:rPr>
          <w:sz w:val="22"/>
          <w:szCs w:val="22"/>
        </w:rPr>
        <w:t>, including</w:t>
      </w:r>
      <w:r w:rsidRPr="002E47AD">
        <w:rPr>
          <w:sz w:val="22"/>
          <w:szCs w:val="22"/>
        </w:rPr>
        <w:t xml:space="preserve"> </w:t>
      </w:r>
      <w:r w:rsidR="00CC7874" w:rsidRPr="002E47AD">
        <w:rPr>
          <w:sz w:val="22"/>
          <w:szCs w:val="22"/>
        </w:rPr>
        <w:t>salaries, fringe</w:t>
      </w:r>
      <w:r w:rsidR="00241F6D">
        <w:rPr>
          <w:sz w:val="22"/>
          <w:szCs w:val="22"/>
        </w:rPr>
        <w:t xml:space="preserve"> benefits</w:t>
      </w:r>
      <w:r w:rsidRPr="002E47AD">
        <w:rPr>
          <w:sz w:val="22"/>
          <w:szCs w:val="22"/>
        </w:rPr>
        <w:t xml:space="preserve">, supplies, </w:t>
      </w:r>
      <w:r w:rsidR="005B20B9" w:rsidRPr="002E47AD">
        <w:rPr>
          <w:sz w:val="22"/>
          <w:szCs w:val="22"/>
        </w:rPr>
        <w:t>materials</w:t>
      </w:r>
      <w:r w:rsidRPr="002E47AD">
        <w:rPr>
          <w:sz w:val="22"/>
          <w:szCs w:val="22"/>
        </w:rPr>
        <w:t>, other operating</w:t>
      </w:r>
      <w:r w:rsidR="00F909E6" w:rsidRPr="002E47AD">
        <w:rPr>
          <w:sz w:val="22"/>
          <w:szCs w:val="22"/>
        </w:rPr>
        <w:t xml:space="preserve"> expenses</w:t>
      </w:r>
      <w:r w:rsidR="002E47AD" w:rsidRPr="002E47AD">
        <w:rPr>
          <w:sz w:val="22"/>
          <w:szCs w:val="22"/>
        </w:rPr>
        <w:t>,</w:t>
      </w:r>
      <w:r w:rsidR="00C0185D" w:rsidRPr="002E47AD">
        <w:rPr>
          <w:sz w:val="22"/>
          <w:szCs w:val="22"/>
        </w:rPr>
        <w:t xml:space="preserve"> and f</w:t>
      </w:r>
      <w:r w:rsidR="00F909E6" w:rsidRPr="002E47AD">
        <w:rPr>
          <w:sz w:val="22"/>
          <w:szCs w:val="22"/>
        </w:rPr>
        <w:t xml:space="preserve">acilities and administrative </w:t>
      </w:r>
      <w:r w:rsidR="00CC7874" w:rsidRPr="002E47AD">
        <w:rPr>
          <w:sz w:val="22"/>
          <w:szCs w:val="22"/>
        </w:rPr>
        <w:t>costs</w:t>
      </w:r>
      <w:r w:rsidR="00F909E6" w:rsidRPr="002E47AD">
        <w:rPr>
          <w:sz w:val="22"/>
          <w:szCs w:val="22"/>
        </w:rPr>
        <w:t xml:space="preserve"> at the </w:t>
      </w:r>
      <w:r w:rsidR="00C0185D" w:rsidRPr="002E47AD">
        <w:rPr>
          <w:sz w:val="22"/>
          <w:szCs w:val="22"/>
        </w:rPr>
        <w:t>“O</w:t>
      </w:r>
      <w:r w:rsidR="00F909E6" w:rsidRPr="002E47AD">
        <w:rPr>
          <w:sz w:val="22"/>
          <w:szCs w:val="22"/>
        </w:rPr>
        <w:t xml:space="preserve">ther </w:t>
      </w:r>
      <w:r w:rsidR="00C0185D" w:rsidRPr="002E47AD">
        <w:rPr>
          <w:sz w:val="22"/>
          <w:szCs w:val="22"/>
        </w:rPr>
        <w:t>S</w:t>
      </w:r>
      <w:r w:rsidR="00F909E6" w:rsidRPr="002E47AD">
        <w:rPr>
          <w:sz w:val="22"/>
          <w:szCs w:val="22"/>
        </w:rPr>
        <w:t xml:space="preserve">ponsored </w:t>
      </w:r>
      <w:r w:rsidR="00C0185D" w:rsidRPr="002E47AD">
        <w:rPr>
          <w:sz w:val="22"/>
          <w:szCs w:val="22"/>
        </w:rPr>
        <w:t>A</w:t>
      </w:r>
      <w:r w:rsidR="00F909E6" w:rsidRPr="002E47AD">
        <w:rPr>
          <w:sz w:val="22"/>
          <w:szCs w:val="22"/>
        </w:rPr>
        <w:t>ctivit</w:t>
      </w:r>
      <w:r w:rsidR="002E47AD" w:rsidRPr="002E47AD">
        <w:rPr>
          <w:sz w:val="22"/>
          <w:szCs w:val="22"/>
        </w:rPr>
        <w:t xml:space="preserve">ies” rate (i.e., </w:t>
      </w:r>
      <w:r w:rsidR="002E47AD" w:rsidRPr="002E47AD">
        <w:rPr>
          <w:b/>
          <w:sz w:val="22"/>
          <w:szCs w:val="22"/>
        </w:rPr>
        <w:t>42.1%</w:t>
      </w:r>
      <w:r w:rsidR="002E47AD" w:rsidRPr="002E47AD">
        <w:rPr>
          <w:sz w:val="22"/>
          <w:szCs w:val="22"/>
        </w:rPr>
        <w:t xml:space="preserve"> of Modified Total Direct Costs (“MTDC”) for </w:t>
      </w:r>
      <w:r w:rsidR="002E47AD" w:rsidRPr="002E47AD">
        <w:rPr>
          <w:b/>
          <w:sz w:val="22"/>
          <w:szCs w:val="22"/>
        </w:rPr>
        <w:t>industry</w:t>
      </w:r>
      <w:r w:rsidR="002E47AD" w:rsidRPr="002E47AD">
        <w:rPr>
          <w:sz w:val="22"/>
          <w:szCs w:val="22"/>
        </w:rPr>
        <w:t xml:space="preserve"> partners and </w:t>
      </w:r>
      <w:r w:rsidR="002E47AD" w:rsidRPr="002E47AD">
        <w:rPr>
          <w:b/>
          <w:sz w:val="22"/>
          <w:szCs w:val="22"/>
        </w:rPr>
        <w:t>33.5%</w:t>
      </w:r>
      <w:r w:rsidR="002E47AD" w:rsidRPr="002E47AD">
        <w:rPr>
          <w:sz w:val="22"/>
          <w:szCs w:val="22"/>
        </w:rPr>
        <w:t xml:space="preserve"> MTDC for </w:t>
      </w:r>
      <w:r w:rsidR="002E47AD" w:rsidRPr="002E47AD">
        <w:rPr>
          <w:b/>
          <w:sz w:val="22"/>
          <w:szCs w:val="22"/>
        </w:rPr>
        <w:t>all other partners</w:t>
      </w:r>
      <w:r w:rsidR="002E47AD" w:rsidRPr="002E47AD">
        <w:rPr>
          <w:sz w:val="22"/>
          <w:szCs w:val="22"/>
        </w:rPr>
        <w:t>)</w:t>
      </w:r>
      <w:r w:rsidR="005B20B9" w:rsidRPr="002E47AD">
        <w:rPr>
          <w:sz w:val="22"/>
          <w:szCs w:val="22"/>
        </w:rPr>
        <w:t>;</w:t>
      </w:r>
    </w:p>
    <w:p w14:paraId="75B2632D" w14:textId="13518605" w:rsidR="00CB0E04" w:rsidRPr="002E47AD" w:rsidRDefault="002E47AD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>Absent an approved conflict of interest management plan through the Office of Institutional Compliance and Ethics, n</w:t>
      </w:r>
      <w:r w:rsidR="00CC7874" w:rsidRPr="002E47AD">
        <w:rPr>
          <w:sz w:val="22"/>
          <w:szCs w:val="22"/>
        </w:rPr>
        <w:t xml:space="preserve">o </w:t>
      </w:r>
      <w:r w:rsidR="005B20B9" w:rsidRPr="002E47AD">
        <w:rPr>
          <w:sz w:val="22"/>
          <w:szCs w:val="22"/>
        </w:rPr>
        <w:t xml:space="preserve">University employee has an ownership </w:t>
      </w:r>
      <w:r w:rsidR="00CC7874" w:rsidRPr="002E47AD">
        <w:rPr>
          <w:sz w:val="22"/>
          <w:szCs w:val="22"/>
        </w:rPr>
        <w:t xml:space="preserve">and/or managing </w:t>
      </w:r>
      <w:r w:rsidR="005B20B9" w:rsidRPr="002E47AD">
        <w:rPr>
          <w:sz w:val="22"/>
          <w:szCs w:val="22"/>
        </w:rPr>
        <w:t xml:space="preserve">interest in the </w:t>
      </w:r>
      <w:r w:rsidR="00CC7874" w:rsidRPr="002E47AD">
        <w:rPr>
          <w:sz w:val="22"/>
          <w:szCs w:val="22"/>
        </w:rPr>
        <w:t>organization</w:t>
      </w:r>
      <w:r w:rsidR="005B20B9" w:rsidRPr="002E47AD">
        <w:rPr>
          <w:sz w:val="22"/>
          <w:szCs w:val="22"/>
        </w:rPr>
        <w:t xml:space="preserve"> </w:t>
      </w:r>
      <w:r w:rsidR="00CB0E04" w:rsidRPr="002E47AD">
        <w:rPr>
          <w:sz w:val="22"/>
          <w:szCs w:val="22"/>
        </w:rPr>
        <w:t>for</w:t>
      </w:r>
      <w:r w:rsidR="005B20B9" w:rsidRPr="002E47AD">
        <w:rPr>
          <w:sz w:val="22"/>
          <w:szCs w:val="22"/>
        </w:rPr>
        <w:t xml:space="preserve"> which services are being provided</w:t>
      </w:r>
      <w:r w:rsidR="00CB0E04" w:rsidRPr="002E47AD">
        <w:rPr>
          <w:sz w:val="22"/>
          <w:szCs w:val="22"/>
        </w:rPr>
        <w:t xml:space="preserve">; </w:t>
      </w:r>
    </w:p>
    <w:p w14:paraId="2339851B" w14:textId="61BBB94B" w:rsidR="005B20B9" w:rsidRPr="002E47AD" w:rsidRDefault="00CC7874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>The services will not involve manufacturing</w:t>
      </w:r>
      <w:r w:rsidR="00DC7641" w:rsidRPr="002E47AD">
        <w:rPr>
          <w:sz w:val="22"/>
          <w:szCs w:val="22"/>
        </w:rPr>
        <w:t>; and</w:t>
      </w:r>
    </w:p>
    <w:p w14:paraId="5ABA822C" w14:textId="253E5BAB" w:rsidR="006D3927" w:rsidRPr="002E47AD" w:rsidRDefault="006D3927" w:rsidP="00D6082C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 xml:space="preserve">If the </w:t>
      </w:r>
      <w:r w:rsidR="00DC7641" w:rsidRPr="002E47AD">
        <w:rPr>
          <w:sz w:val="22"/>
          <w:szCs w:val="22"/>
        </w:rPr>
        <w:t xml:space="preserve">Analytical Services </w:t>
      </w:r>
      <w:r w:rsidR="002E47AD">
        <w:rPr>
          <w:sz w:val="22"/>
          <w:szCs w:val="22"/>
        </w:rPr>
        <w:t>Agreement</w:t>
      </w:r>
      <w:r w:rsidRPr="002E47AD">
        <w:rPr>
          <w:sz w:val="22"/>
          <w:szCs w:val="22"/>
        </w:rPr>
        <w:t xml:space="preserve"> is modified</w:t>
      </w:r>
      <w:r w:rsidR="00DC7641" w:rsidRPr="002E47AD">
        <w:rPr>
          <w:sz w:val="22"/>
          <w:szCs w:val="22"/>
        </w:rPr>
        <w:t>,</w:t>
      </w:r>
      <w:r w:rsidRPr="002E47AD">
        <w:rPr>
          <w:sz w:val="22"/>
          <w:szCs w:val="22"/>
        </w:rPr>
        <w:t xml:space="preserve"> it must be routed to the Office of General Counsel for approval prior to </w:t>
      </w:r>
      <w:r w:rsidR="00DC7641" w:rsidRPr="002E47AD">
        <w:rPr>
          <w:sz w:val="22"/>
          <w:szCs w:val="22"/>
        </w:rPr>
        <w:t>signing</w:t>
      </w:r>
      <w:r w:rsidRPr="002E47AD">
        <w:rPr>
          <w:sz w:val="22"/>
          <w:szCs w:val="22"/>
        </w:rPr>
        <w:t>.</w:t>
      </w:r>
    </w:p>
    <w:p w14:paraId="2A1E0593" w14:textId="77777777" w:rsidR="00CF359F" w:rsidRPr="002E47AD" w:rsidRDefault="00CF359F" w:rsidP="007C0B0B">
      <w:pPr>
        <w:jc w:val="both"/>
        <w:rPr>
          <w:sz w:val="22"/>
          <w:szCs w:val="22"/>
        </w:rPr>
      </w:pPr>
    </w:p>
    <w:p w14:paraId="092E99BE" w14:textId="5BD7AC3F" w:rsidR="006D3927" w:rsidRPr="002E47AD" w:rsidRDefault="00CF359F" w:rsidP="007C0B0B">
      <w:pPr>
        <w:jc w:val="both"/>
        <w:rPr>
          <w:sz w:val="22"/>
          <w:szCs w:val="22"/>
        </w:rPr>
      </w:pPr>
      <w:r w:rsidRPr="002E47AD">
        <w:rPr>
          <w:b/>
          <w:sz w:val="22"/>
          <w:szCs w:val="22"/>
        </w:rPr>
        <w:t>Storing the Analytical Services Agreement:</w:t>
      </w:r>
      <w:r w:rsidRPr="002E47AD">
        <w:rPr>
          <w:sz w:val="22"/>
          <w:szCs w:val="22"/>
        </w:rPr>
        <w:t xml:space="preserve"> </w:t>
      </w:r>
      <w:r w:rsidR="00DC010F" w:rsidRPr="002E47AD">
        <w:rPr>
          <w:sz w:val="22"/>
          <w:szCs w:val="22"/>
        </w:rPr>
        <w:t xml:space="preserve">A scanned copy of the </w:t>
      </w:r>
      <w:r w:rsidR="00EE54BB" w:rsidRPr="002E47AD">
        <w:rPr>
          <w:sz w:val="22"/>
          <w:szCs w:val="22"/>
        </w:rPr>
        <w:t xml:space="preserve">signed Analytical Services </w:t>
      </w:r>
      <w:r w:rsidR="00F541C2">
        <w:rPr>
          <w:sz w:val="22"/>
          <w:szCs w:val="22"/>
        </w:rPr>
        <w:t>Agreement</w:t>
      </w:r>
      <w:r w:rsidR="00DC010F" w:rsidRPr="002E47AD">
        <w:rPr>
          <w:sz w:val="22"/>
          <w:szCs w:val="22"/>
        </w:rPr>
        <w:t xml:space="preserve"> must be sent to the Office of Technology Transfer </w:t>
      </w:r>
      <w:r w:rsidR="002E47AD">
        <w:rPr>
          <w:sz w:val="22"/>
          <w:szCs w:val="22"/>
        </w:rPr>
        <w:t xml:space="preserve">at </w:t>
      </w:r>
      <w:hyperlink r:id="rId7" w:history="1">
        <w:r w:rsidR="002E47AD" w:rsidRPr="002E47AD">
          <w:rPr>
            <w:rStyle w:val="Hyperlink"/>
            <w:sz w:val="22"/>
            <w:szCs w:val="22"/>
            <w:u w:val="none"/>
          </w:rPr>
          <w:t>techtransfer@boisestate.edu</w:t>
        </w:r>
      </w:hyperlink>
      <w:r w:rsidR="002E47AD">
        <w:rPr>
          <w:sz w:val="22"/>
          <w:szCs w:val="22"/>
        </w:rPr>
        <w:t xml:space="preserve"> </w:t>
      </w:r>
      <w:r w:rsidR="00DC010F" w:rsidRPr="002E47AD">
        <w:rPr>
          <w:sz w:val="22"/>
          <w:szCs w:val="22"/>
        </w:rPr>
        <w:t>for stor</w:t>
      </w:r>
      <w:r w:rsidR="00DC7641" w:rsidRPr="002E47AD">
        <w:rPr>
          <w:sz w:val="22"/>
          <w:szCs w:val="22"/>
        </w:rPr>
        <w:t>age</w:t>
      </w:r>
      <w:r w:rsidR="00DC010F" w:rsidRPr="002E47AD">
        <w:rPr>
          <w:sz w:val="22"/>
          <w:szCs w:val="22"/>
        </w:rPr>
        <w:t xml:space="preserve">. </w:t>
      </w:r>
      <w:r w:rsidR="00EE54BB" w:rsidRPr="002E47AD">
        <w:rPr>
          <w:sz w:val="22"/>
          <w:szCs w:val="22"/>
        </w:rPr>
        <w:t>Campus</w:t>
      </w:r>
      <w:r w:rsidRPr="002E47AD">
        <w:rPr>
          <w:sz w:val="22"/>
          <w:szCs w:val="22"/>
        </w:rPr>
        <w:t xml:space="preserve"> unit</w:t>
      </w:r>
      <w:r w:rsidR="007D2E15" w:rsidRPr="002E47AD">
        <w:rPr>
          <w:sz w:val="22"/>
          <w:szCs w:val="22"/>
        </w:rPr>
        <w:t>s</w:t>
      </w:r>
      <w:r w:rsidRPr="002E47AD">
        <w:rPr>
          <w:sz w:val="22"/>
          <w:szCs w:val="22"/>
        </w:rPr>
        <w:t xml:space="preserve"> </w:t>
      </w:r>
      <w:r w:rsidR="00EE54BB" w:rsidRPr="002E47AD">
        <w:rPr>
          <w:sz w:val="22"/>
          <w:szCs w:val="22"/>
        </w:rPr>
        <w:t>must</w:t>
      </w:r>
      <w:r w:rsidRPr="002E47AD">
        <w:rPr>
          <w:sz w:val="22"/>
          <w:szCs w:val="22"/>
        </w:rPr>
        <w:t xml:space="preserve"> </w:t>
      </w:r>
      <w:r w:rsidR="00DC010F" w:rsidRPr="002E47AD">
        <w:rPr>
          <w:sz w:val="22"/>
          <w:szCs w:val="22"/>
        </w:rPr>
        <w:t xml:space="preserve">keep the original </w:t>
      </w:r>
      <w:r w:rsidRPr="002E47AD">
        <w:rPr>
          <w:sz w:val="22"/>
          <w:szCs w:val="22"/>
        </w:rPr>
        <w:t xml:space="preserve">contract </w:t>
      </w:r>
      <w:r w:rsidR="002E47AD">
        <w:rPr>
          <w:sz w:val="22"/>
          <w:szCs w:val="22"/>
        </w:rPr>
        <w:t>in</w:t>
      </w:r>
      <w:r w:rsidRPr="002E47AD">
        <w:rPr>
          <w:sz w:val="22"/>
          <w:szCs w:val="22"/>
        </w:rPr>
        <w:t xml:space="preserve"> their records</w:t>
      </w:r>
      <w:r w:rsidR="00241F6D">
        <w:rPr>
          <w:sz w:val="22"/>
          <w:szCs w:val="22"/>
        </w:rPr>
        <w:t xml:space="preserve"> in accordance with university policy</w:t>
      </w:r>
      <w:bookmarkStart w:id="0" w:name="_GoBack"/>
      <w:bookmarkEnd w:id="0"/>
      <w:r w:rsidRPr="002E47AD">
        <w:rPr>
          <w:sz w:val="22"/>
          <w:szCs w:val="22"/>
        </w:rPr>
        <w:t>.</w:t>
      </w:r>
    </w:p>
    <w:p w14:paraId="224A20C8" w14:textId="77777777" w:rsidR="00651C55" w:rsidRPr="002E47AD" w:rsidRDefault="00651C55" w:rsidP="007C0B0B">
      <w:pPr>
        <w:jc w:val="both"/>
        <w:rPr>
          <w:b/>
          <w:sz w:val="22"/>
          <w:szCs w:val="22"/>
        </w:rPr>
      </w:pPr>
    </w:p>
    <w:p w14:paraId="6616527C" w14:textId="3DA81AF0" w:rsidR="006D6A45" w:rsidRPr="002E47AD" w:rsidRDefault="007C0B0B" w:rsidP="007C0B0B">
      <w:pPr>
        <w:jc w:val="both"/>
        <w:rPr>
          <w:sz w:val="22"/>
          <w:szCs w:val="22"/>
        </w:rPr>
      </w:pPr>
      <w:r w:rsidRPr="002E47AD">
        <w:rPr>
          <w:b/>
          <w:sz w:val="22"/>
          <w:szCs w:val="22"/>
        </w:rPr>
        <w:t>Examples</w:t>
      </w:r>
      <w:r w:rsidR="006D6A45" w:rsidRPr="002E47AD">
        <w:rPr>
          <w:b/>
          <w:sz w:val="22"/>
          <w:szCs w:val="22"/>
        </w:rPr>
        <w:t xml:space="preserve"> of Allowable Services</w:t>
      </w:r>
      <w:r w:rsidRPr="002E47AD">
        <w:rPr>
          <w:b/>
          <w:sz w:val="22"/>
          <w:szCs w:val="22"/>
        </w:rPr>
        <w:t>:</w:t>
      </w:r>
      <w:r w:rsidRPr="002E47AD">
        <w:rPr>
          <w:sz w:val="22"/>
          <w:szCs w:val="22"/>
        </w:rPr>
        <w:t xml:space="preserve"> </w:t>
      </w:r>
    </w:p>
    <w:p w14:paraId="2E048BB3" w14:textId="77777777" w:rsidR="006D6A45" w:rsidRPr="002E47AD" w:rsidRDefault="006D6A45" w:rsidP="007C0B0B">
      <w:pPr>
        <w:jc w:val="both"/>
        <w:rPr>
          <w:sz w:val="22"/>
          <w:szCs w:val="22"/>
        </w:rPr>
      </w:pPr>
    </w:p>
    <w:p w14:paraId="31DFE183" w14:textId="7B31C36F" w:rsidR="006D6A45" w:rsidRPr="002E47AD" w:rsidRDefault="006D6A45" w:rsidP="006D392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>Preparing and analyzing samples using nuclear magnetic resonance spectrometry and providing the raw or summarized data to the client;</w:t>
      </w:r>
    </w:p>
    <w:p w14:paraId="5EAAFDF9" w14:textId="55D7C952" w:rsidR="006D6A45" w:rsidRPr="002E47AD" w:rsidRDefault="006D6A45" w:rsidP="006D392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>Preparing and analyzing samples using gas chromatography mass spectrometry and providing the raw or summarized data to the client;</w:t>
      </w:r>
      <w:r w:rsidR="0076208E" w:rsidRPr="002E47AD">
        <w:rPr>
          <w:sz w:val="22"/>
          <w:szCs w:val="22"/>
        </w:rPr>
        <w:t xml:space="preserve"> and</w:t>
      </w:r>
    </w:p>
    <w:p w14:paraId="57DB4C08" w14:textId="0F935DCB" w:rsidR="0076208E" w:rsidRPr="002E47AD" w:rsidRDefault="006D6A45" w:rsidP="006D3927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2E47AD">
        <w:rPr>
          <w:sz w:val="22"/>
          <w:szCs w:val="22"/>
        </w:rPr>
        <w:t>Producing a Material Safety Data Sheet for a client’</w:t>
      </w:r>
      <w:r w:rsidR="0076208E" w:rsidRPr="002E47AD">
        <w:rPr>
          <w:sz w:val="22"/>
          <w:szCs w:val="22"/>
        </w:rPr>
        <w:t>s product.</w:t>
      </w:r>
    </w:p>
    <w:sectPr w:rsidR="0076208E" w:rsidRPr="002E47AD" w:rsidSect="00D6082C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10183" w14:textId="77777777" w:rsidR="000B6EA1" w:rsidRDefault="000B6EA1" w:rsidP="006D6A45">
      <w:r>
        <w:separator/>
      </w:r>
    </w:p>
  </w:endnote>
  <w:endnote w:type="continuationSeparator" w:id="0">
    <w:p w14:paraId="0308D63F" w14:textId="77777777" w:rsidR="000B6EA1" w:rsidRDefault="000B6EA1" w:rsidP="006D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292AC" w14:textId="4137097B" w:rsidR="002E47AD" w:rsidRDefault="002E47AD">
    <w:pPr>
      <w:pStyle w:val="Footer"/>
    </w:pPr>
    <w:r>
      <w:t>June 16,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DE122" w14:textId="77777777" w:rsidR="000B6EA1" w:rsidRDefault="000B6EA1" w:rsidP="006D6A45">
      <w:r>
        <w:separator/>
      </w:r>
    </w:p>
  </w:footnote>
  <w:footnote w:type="continuationSeparator" w:id="0">
    <w:p w14:paraId="6B7ADCA8" w14:textId="77777777" w:rsidR="000B6EA1" w:rsidRDefault="000B6EA1" w:rsidP="006D6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5A17"/>
    <w:multiLevelType w:val="multilevel"/>
    <w:tmpl w:val="C76A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BE0B96"/>
    <w:multiLevelType w:val="hybridMultilevel"/>
    <w:tmpl w:val="43486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C2019"/>
    <w:multiLevelType w:val="hybridMultilevel"/>
    <w:tmpl w:val="2AD4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21AFE"/>
    <w:multiLevelType w:val="singleLevel"/>
    <w:tmpl w:val="4BEC1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0EA"/>
    <w:rsid w:val="000933DF"/>
    <w:rsid w:val="000B6EA1"/>
    <w:rsid w:val="000E14E0"/>
    <w:rsid w:val="0011344E"/>
    <w:rsid w:val="00114A5F"/>
    <w:rsid w:val="00234D84"/>
    <w:rsid w:val="00241F6D"/>
    <w:rsid w:val="002B432E"/>
    <w:rsid w:val="002E47AD"/>
    <w:rsid w:val="00327A54"/>
    <w:rsid w:val="003463C3"/>
    <w:rsid w:val="00367F6B"/>
    <w:rsid w:val="0037703A"/>
    <w:rsid w:val="003A239D"/>
    <w:rsid w:val="003D78A0"/>
    <w:rsid w:val="00440782"/>
    <w:rsid w:val="00442356"/>
    <w:rsid w:val="004C2F9C"/>
    <w:rsid w:val="004C5952"/>
    <w:rsid w:val="00534E78"/>
    <w:rsid w:val="005B20B9"/>
    <w:rsid w:val="005B50EA"/>
    <w:rsid w:val="005F5FEC"/>
    <w:rsid w:val="00651C55"/>
    <w:rsid w:val="006C7653"/>
    <w:rsid w:val="006D3927"/>
    <w:rsid w:val="006D6A45"/>
    <w:rsid w:val="006E2888"/>
    <w:rsid w:val="00723921"/>
    <w:rsid w:val="0076208E"/>
    <w:rsid w:val="007C0B0B"/>
    <w:rsid w:val="007D0F2F"/>
    <w:rsid w:val="007D2E15"/>
    <w:rsid w:val="008B6D7B"/>
    <w:rsid w:val="008E0DE5"/>
    <w:rsid w:val="00900181"/>
    <w:rsid w:val="00917C49"/>
    <w:rsid w:val="00921CF1"/>
    <w:rsid w:val="0093654C"/>
    <w:rsid w:val="009D20A1"/>
    <w:rsid w:val="009E3D25"/>
    <w:rsid w:val="00A72FF0"/>
    <w:rsid w:val="00A83CEE"/>
    <w:rsid w:val="00A92F1F"/>
    <w:rsid w:val="00A944CF"/>
    <w:rsid w:val="00AC1EE2"/>
    <w:rsid w:val="00AF1B13"/>
    <w:rsid w:val="00B253B0"/>
    <w:rsid w:val="00B31814"/>
    <w:rsid w:val="00B915D2"/>
    <w:rsid w:val="00BA70EE"/>
    <w:rsid w:val="00C0185D"/>
    <w:rsid w:val="00C15420"/>
    <w:rsid w:val="00CB0E04"/>
    <w:rsid w:val="00CC0F46"/>
    <w:rsid w:val="00CC7874"/>
    <w:rsid w:val="00CF21F5"/>
    <w:rsid w:val="00CF359F"/>
    <w:rsid w:val="00D3511C"/>
    <w:rsid w:val="00D6082C"/>
    <w:rsid w:val="00DC010F"/>
    <w:rsid w:val="00DC7641"/>
    <w:rsid w:val="00E63FB3"/>
    <w:rsid w:val="00EC0C03"/>
    <w:rsid w:val="00EE1F79"/>
    <w:rsid w:val="00EE54BB"/>
    <w:rsid w:val="00F541C2"/>
    <w:rsid w:val="00F909E6"/>
    <w:rsid w:val="00F9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17E82"/>
  <w15:docId w15:val="{0C29B54A-43A7-49D1-8389-2E2BB80E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5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2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0B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0B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0B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B9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3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0185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6A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A4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D6A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A45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chtransfer@boise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Henry</dc:creator>
  <cp:lastModifiedBy>Matt Smith</cp:lastModifiedBy>
  <cp:revision>6</cp:revision>
  <dcterms:created xsi:type="dcterms:W3CDTF">2016-05-20T19:40:00Z</dcterms:created>
  <dcterms:modified xsi:type="dcterms:W3CDTF">2023-06-16T15:35:00Z</dcterms:modified>
</cp:coreProperties>
</file>